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> 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E36AB">
        <w:rPr>
          <w:b/>
          <w:bCs/>
          <w:sz w:val="28"/>
          <w:szCs w:val="28"/>
        </w:rPr>
        <w:t xml:space="preserve">ВЕРХОВНИЙ СУД УКРАЇНИ </w:t>
      </w:r>
    </w:p>
    <w:p w:rsidR="00EF3941" w:rsidRDefault="001808EA" w:rsidP="005E36A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5E36AB">
        <w:rPr>
          <w:rFonts w:eastAsia="Times New Roman"/>
          <w:sz w:val="28"/>
          <w:szCs w:val="28"/>
        </w:rPr>
        <w:t xml:space="preserve">УХВАЛА </w:t>
      </w:r>
    </w:p>
    <w:p w:rsidR="00EF3941" w:rsidRPr="005E36AB" w:rsidRDefault="005E36AB" w:rsidP="005E36A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5E36AB">
        <w:rPr>
          <w:sz w:val="28"/>
          <w:szCs w:val="28"/>
        </w:rPr>
        <w:t xml:space="preserve">04.06.2003 р. Справа </w:t>
      </w:r>
      <w:r>
        <w:rPr>
          <w:b w:val="0"/>
          <w:bCs w:val="0"/>
          <w:sz w:val="28"/>
          <w:szCs w:val="28"/>
        </w:rPr>
        <w:t>№</w:t>
      </w:r>
      <w:r w:rsidRPr="005E36AB">
        <w:rPr>
          <w:sz w:val="28"/>
          <w:szCs w:val="28"/>
        </w:rPr>
        <w:t xml:space="preserve"> 6-8582кс02 </w:t>
      </w:r>
      <w:r w:rsidR="001808EA" w:rsidRPr="005E36AB">
        <w:rPr>
          <w:rFonts w:eastAsia="Times New Roman"/>
          <w:sz w:val="28"/>
          <w:szCs w:val="28"/>
        </w:rPr>
        <w:br w:type="textWrapping" w:clear="all"/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Судова палата у цивільних справах Верховного Суду України, розглянувши справу за позовом Р. до </w:t>
      </w:r>
      <w:proofErr w:type="spellStart"/>
      <w:r w:rsidRPr="005E36AB">
        <w:rPr>
          <w:sz w:val="28"/>
          <w:szCs w:val="28"/>
        </w:rPr>
        <w:t>Новокаховського</w:t>
      </w:r>
      <w:proofErr w:type="spellEnd"/>
      <w:r w:rsidRPr="005E36AB">
        <w:rPr>
          <w:sz w:val="28"/>
          <w:szCs w:val="28"/>
        </w:rPr>
        <w:t xml:space="preserve"> міського відділу освіти, </w:t>
      </w:r>
      <w:proofErr w:type="spellStart"/>
      <w:r w:rsidRPr="005E36AB">
        <w:rPr>
          <w:sz w:val="28"/>
          <w:szCs w:val="28"/>
        </w:rPr>
        <w:t>Новокаховської</w:t>
      </w:r>
      <w:proofErr w:type="spellEnd"/>
      <w:r w:rsidRPr="005E36AB">
        <w:rPr>
          <w:sz w:val="28"/>
          <w:szCs w:val="28"/>
        </w:rPr>
        <w:t xml:space="preserve"> загальноосвітньої  школи </w:t>
      </w:r>
      <w:r w:rsidR="005E36AB">
        <w:rPr>
          <w:sz w:val="28"/>
          <w:szCs w:val="28"/>
        </w:rPr>
        <w:t>№</w:t>
      </w:r>
      <w:r w:rsidRPr="005E36AB">
        <w:rPr>
          <w:sz w:val="28"/>
          <w:szCs w:val="28"/>
        </w:rPr>
        <w:t xml:space="preserve"> * про стягнення надбавки за вислугу років та допомоги на оздоровлення, за касаційною скаргою Р., встановила наступне.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У квітні 2001 р. Р. звернулася до суду з позовом до </w:t>
      </w:r>
      <w:proofErr w:type="spellStart"/>
      <w:r w:rsidRPr="005E36AB">
        <w:rPr>
          <w:sz w:val="28"/>
          <w:szCs w:val="28"/>
        </w:rPr>
        <w:t>Новокаховського</w:t>
      </w:r>
      <w:proofErr w:type="spellEnd"/>
      <w:r w:rsidRPr="005E36AB">
        <w:rPr>
          <w:sz w:val="28"/>
          <w:szCs w:val="28"/>
        </w:rPr>
        <w:t xml:space="preserve"> міського відділу освіти, </w:t>
      </w:r>
      <w:proofErr w:type="spellStart"/>
      <w:r w:rsidRPr="005E36AB">
        <w:rPr>
          <w:sz w:val="28"/>
          <w:szCs w:val="28"/>
        </w:rPr>
        <w:t>Новокаховської</w:t>
      </w:r>
      <w:proofErr w:type="spellEnd"/>
      <w:r w:rsidRPr="005E36AB">
        <w:rPr>
          <w:sz w:val="28"/>
          <w:szCs w:val="28"/>
        </w:rPr>
        <w:t xml:space="preserve"> загальноосвітньої школи </w:t>
      </w:r>
      <w:r w:rsidR="005E36AB">
        <w:rPr>
          <w:sz w:val="28"/>
          <w:szCs w:val="28"/>
        </w:rPr>
        <w:t>№</w:t>
      </w:r>
      <w:r w:rsidRPr="005E36AB">
        <w:rPr>
          <w:sz w:val="28"/>
          <w:szCs w:val="28"/>
        </w:rPr>
        <w:t xml:space="preserve"> * про стягнення надбавки за вислугу років та допомоги на оздоровлення, починаючи з 1 січня 1997 р., виплату яких відповідачі не здійснюють, посилаючись на недостатність бюджетного фінансування.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Рішенням </w:t>
      </w:r>
      <w:proofErr w:type="spellStart"/>
      <w:r w:rsidRPr="005E36AB">
        <w:rPr>
          <w:sz w:val="28"/>
          <w:szCs w:val="28"/>
        </w:rPr>
        <w:t>Новокаховського</w:t>
      </w:r>
      <w:proofErr w:type="spellEnd"/>
      <w:r w:rsidRPr="005E36AB">
        <w:rPr>
          <w:sz w:val="28"/>
          <w:szCs w:val="28"/>
        </w:rPr>
        <w:t xml:space="preserve"> міського суду від 21 червня 2001 р., залишеним без зміни ухвалою Херсонського апеляційного суду від 26 листопада 2001 р., позов Р. залишено без задоволення.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У касаційній скарзі Р. просить скасувати постановлені по справі рішення, посилаючись на неправильне застосування судом норм матеріального права.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Касаційна скарга підлягає задоволенню з таких підстав.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Згідно із ч. 7 ст. 43 Конституції України право на своєчасне одержання винагороди за працю захищається законом.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Відповідно до ч. 1 ст. 21 Закону України "Про оплату праці" працівник має право на оплату власної праці відповідно до актів законодавства і колективного договору.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Статтею 57 Закону України "Про освіту" передбачаються державні гарантії педагогічним, науково-педагогічним та іншим працівникам закладів освіти, зокрема, виплата надбавок за вислугу років та допомоги на оздоровлення при наданні щорічної відпустки, які набрали чинності відповідно з 1 січня 1997 р. та з 1 січня 1998 р.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Судом встановлено, що всупереч зазначеним вимогам Закону надбавки за вислугу років та допомога на оздоровлення за 1997 - 2000 рр. позивачці не виплачувалися.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Доводи відповідача про те, що в зазначений період відділу освіти не виділялися кошти на виплати, передбачені ст. 57 Закону України "Про освіту", і тому такі виплати не проводилися, не можуть братися до уваги, оскільки суперечать згаданим нормам Закону.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>Як роз</w:t>
      </w:r>
      <w:r w:rsidR="005E36AB">
        <w:rPr>
          <w:sz w:val="28"/>
          <w:szCs w:val="28"/>
        </w:rPr>
        <w:t>’</w:t>
      </w:r>
      <w:r w:rsidRPr="005E36AB">
        <w:rPr>
          <w:sz w:val="28"/>
          <w:szCs w:val="28"/>
        </w:rPr>
        <w:t xml:space="preserve">яснив Пленум Верховного Суду України в п. 8 постанови </w:t>
      </w:r>
      <w:r w:rsidR="005E36AB">
        <w:rPr>
          <w:sz w:val="28"/>
          <w:szCs w:val="28"/>
        </w:rPr>
        <w:t>№</w:t>
      </w:r>
      <w:r w:rsidRPr="005E36AB">
        <w:rPr>
          <w:sz w:val="28"/>
          <w:szCs w:val="28"/>
        </w:rPr>
        <w:t xml:space="preserve"> 13 від 24 грудня 1999 р. "Про практику застосування судами законодавства про оплату праці", під час вирішення спорів про виплату премій, винагороди за підсумками </w:t>
      </w:r>
      <w:r w:rsidRPr="005E36AB">
        <w:rPr>
          <w:sz w:val="28"/>
          <w:szCs w:val="28"/>
        </w:rPr>
        <w:lastRenderedPageBreak/>
        <w:t xml:space="preserve">роботи за рік чи за вислугу років, надбавок і доплат слід виходити з нормативно-правових актів, якими визначаються умови та розмір цих виплат. Працівники, на котрих поширюються зазначені нормативно-правові акти, можуть позбавлятися таких виплат лише у випадках і за умов, передбачених цими актами. З мотивів відсутності коштів у проведенні зазначених виплат може бути відмовлено у тому разі, коли у відповідних актах обумовлюється наявність певних коштів чи фінансування.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>Відповідно до ст. 22 Закону України "Про оплату праці" суб</w:t>
      </w:r>
      <w:r w:rsidR="005E36AB">
        <w:rPr>
          <w:sz w:val="28"/>
          <w:szCs w:val="28"/>
        </w:rPr>
        <w:t>’</w:t>
      </w:r>
      <w:r w:rsidRPr="005E36AB">
        <w:rPr>
          <w:sz w:val="28"/>
          <w:szCs w:val="28"/>
        </w:rPr>
        <w:t xml:space="preserve">єкти організації оплати праці не мають права в односторонньому порядку приймати рішення з питань оплати праці, що погіршують умови, встановлені законодавством, угодами і колективними договорами.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За вимогами ст. 9 Кодексу законів про працю України умови договорів про працю, які погіршують становище працівників порівняно з законодавством України про працю, є недійсними.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Таким чином, законом передбачено, що навіть за наявності угоди сторін у трудовий договір не можуть включатися умови, які погіршують становище працівника, тим більше умови, які дозволяють в односторонньому порядку власнику приймати рішення з питань оплати праці.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За таких обставин судові рішення не можуть залишатися в силі і підлягають скасуванню з спрямуванням справи на новий розгляд.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Керуючись ст. 334 ЦПК України, Судова палата у цивільних справах Верховного Суду України </w:t>
      </w:r>
      <w:r w:rsidRPr="005E36AB">
        <w:rPr>
          <w:b/>
          <w:bCs/>
          <w:sz w:val="28"/>
          <w:szCs w:val="28"/>
        </w:rPr>
        <w:t>ухвалила</w:t>
      </w:r>
      <w:r w:rsidRPr="005E36AB">
        <w:rPr>
          <w:sz w:val="28"/>
          <w:szCs w:val="28"/>
        </w:rPr>
        <w:t xml:space="preserve">: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касаційну скаргу Р. задовольнити.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Рішення </w:t>
      </w:r>
      <w:proofErr w:type="spellStart"/>
      <w:r w:rsidRPr="005E36AB">
        <w:rPr>
          <w:sz w:val="28"/>
          <w:szCs w:val="28"/>
        </w:rPr>
        <w:t>Новокаховського</w:t>
      </w:r>
      <w:proofErr w:type="spellEnd"/>
      <w:r w:rsidRPr="005E36AB">
        <w:rPr>
          <w:sz w:val="28"/>
          <w:szCs w:val="28"/>
        </w:rPr>
        <w:t xml:space="preserve"> міського суду Херсонської області від 21 червня 2001 р. та ухвалу Херсонського апеляційного суду від 26 листопада 2001 р. скасувати, справу спрямувати на новий розгляд до суду першої інстанції. </w:t>
      </w:r>
    </w:p>
    <w:p w:rsidR="00EF3941" w:rsidRPr="005E36AB" w:rsidRDefault="001808EA" w:rsidP="005E36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36AB">
        <w:rPr>
          <w:sz w:val="28"/>
          <w:szCs w:val="28"/>
        </w:rPr>
        <w:t xml:space="preserve">Ухвала оскарженню не підлягає. </w:t>
      </w:r>
    </w:p>
    <w:p w:rsidR="00EF3941" w:rsidRPr="005E36AB" w:rsidRDefault="00EF3941" w:rsidP="005E36A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F3941" w:rsidRPr="005E3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7C"/>
    <w:rsid w:val="001808EA"/>
    <w:rsid w:val="005E36AB"/>
    <w:rsid w:val="007404B8"/>
    <w:rsid w:val="007E7E7C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B917-8F2A-40AA-B688-35B75124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2014-10-05T16:06:00Z</dcterms:created>
  <dcterms:modified xsi:type="dcterms:W3CDTF">2014-11-08T19:50:00Z</dcterms:modified>
</cp:coreProperties>
</file>