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604CF">
        <w:rPr>
          <w:b/>
          <w:bCs/>
          <w:sz w:val="28"/>
          <w:szCs w:val="28"/>
        </w:rPr>
        <w:t xml:space="preserve">ВЕРХОВНИЙ СУД УКРАЇНИ </w:t>
      </w:r>
      <w:r w:rsidRPr="000604CF">
        <w:rPr>
          <w:sz w:val="28"/>
          <w:szCs w:val="28"/>
        </w:rPr>
        <w:br/>
      </w:r>
      <w:r w:rsidRPr="000604CF">
        <w:rPr>
          <w:b/>
          <w:bCs/>
          <w:sz w:val="28"/>
          <w:szCs w:val="28"/>
        </w:rPr>
        <w:t>КОЛЕГІЯ СУДДІВ</w:t>
      </w:r>
      <w:r w:rsidRPr="000604CF">
        <w:rPr>
          <w:sz w:val="28"/>
          <w:szCs w:val="28"/>
        </w:rPr>
        <w:t xml:space="preserve"> </w:t>
      </w:r>
      <w:r w:rsidRPr="000604CF">
        <w:rPr>
          <w:b/>
          <w:bCs/>
          <w:sz w:val="28"/>
          <w:szCs w:val="28"/>
        </w:rPr>
        <w:t xml:space="preserve">СУДОВОЇ ПАЛАТИ У ЦИВІЛЬНИХ СПРАВАХ </w:t>
      </w:r>
    </w:p>
    <w:p w:rsidR="009A647F" w:rsidRPr="000604CF" w:rsidRDefault="00062B7E" w:rsidP="000604C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0604CF">
        <w:rPr>
          <w:rFonts w:eastAsia="Times New Roman"/>
          <w:sz w:val="28"/>
          <w:szCs w:val="28"/>
        </w:rPr>
        <w:t xml:space="preserve">УХВАЛА </w:t>
      </w:r>
    </w:p>
    <w:p w:rsidR="009A647F" w:rsidRDefault="00062B7E" w:rsidP="000604C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604CF">
        <w:rPr>
          <w:b/>
          <w:bCs/>
          <w:sz w:val="28"/>
          <w:szCs w:val="28"/>
        </w:rPr>
        <w:t xml:space="preserve">від 28 січня 2009 року </w:t>
      </w:r>
    </w:p>
    <w:p w:rsidR="000604CF" w:rsidRPr="000604CF" w:rsidRDefault="000604CF" w:rsidP="000604C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28 січня 2009 року колегія суддів Судової палати у цивільних справах Верховного Суду України в складі ...., розглянувши в судовому засіданні справу за позовом ОСОБА-1 до приватного підприємства "Оздоб-Сервіс" про стягнення заробітної плати за касаційною скаргою ОСОБА-1 на рішення Броварського міськрайонного суду Київської області від 11 квітня 2007 року та ухвалу апеляційного суду Київської області від 2 вересня 2008 року, </w:t>
      </w:r>
      <w:r w:rsidRPr="000604CF">
        <w:rPr>
          <w:b/>
          <w:bCs/>
          <w:sz w:val="28"/>
          <w:szCs w:val="28"/>
        </w:rPr>
        <w:t>встановила</w:t>
      </w:r>
      <w:r w:rsidRPr="000604CF">
        <w:rPr>
          <w:sz w:val="28"/>
          <w:szCs w:val="28"/>
        </w:rPr>
        <w:t xml:space="preserve">: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У січні 2007 року ОСОБА-1 звернувся в суд позовом до ПП "Оздоб-Сервіс", зазначивши наступне. 2 червня 2005 р. між ним та відповідачем укладений трудовий договір строком до 2 червня 2006 року, за умовами якого відповідач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>язався йому виплачувати зарплату в розмірі 2000 грн. щомісяця. Крім того, 30 квітня 2004 року між ними була укладена трудова угода, за якою він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>язувався на власному автомобілі перевозити працівників та будівельні матеріали до об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єктів підприємства, а відповідач - оплачувати таку роботу в розмірі 100 грн. за один робочий день.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Оскільки відповідач свої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язання за такими угодами в повному обсязі не виконав, позивач просив стягнути з ПП "Оздоб-Сервіс" 38500 грн. (21100 грн. і 17400 грн. відповідно до укладених угод).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Рішенням Броварського міськрайонного суду Київської області від 11 квітня 2007 року, залишеним без змін ухвалою апеляційного суду Київської області від 2 вересня 2008 року, ОСОБА-1 у задоволенні позову відмовлено.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У касаційній скарзі ОСОБА-1, посилаючись на неправильне застосування судами норм матеріального права та порушення норм процесуального права, просить судові рішення скасувати і ухвалити нове рішення про задоволення позову.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Касаційна скарга підлягає частковому задоволенню з таких підстав.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Відповідно до вимог ст. 324 ЦПК України підставами для касаційного оскарження є неправильне застосування судом норм матеріального права чи порушення норм процесуального права.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Відмовляючи в задоволенні позову, суд першої інстанції, з висновками якого погодився й суд апеляційної інстанції, виходив з того, що позивач прийнятий на роботу з місячним окладом у 450 грн., а трудова угода, в якій зазначається оклад в 2000 грн., є сумнівною, заборгованість в сумі 586 грн. депонована, оскільки він відмовляється її отримувати. Трудова угода від 30 квітня 2005 р. також є сумнівною, фактично є цивільно-правовим договором про надання послуг і в разі порушення своїх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язань з боку відповідача позивач в силу ст. 611 ЦК </w:t>
      </w:r>
      <w:r w:rsidRPr="000604CF">
        <w:rPr>
          <w:sz w:val="28"/>
          <w:szCs w:val="28"/>
        </w:rPr>
        <w:lastRenderedPageBreak/>
        <w:t xml:space="preserve">України мав право в односторонньому порядку її розірвати та вимагати стягнення збитків, проте розмір збитків у сумі 17400 грн. він не довів.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Проте до таких висновків суди дійшли із неправильним застосуванням норм матеріального права та порушенням норм процесуального права.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Відповідно до ст. 213 ЦПК України рішення суду повинно бути законним і обґрунтованим. Згідно зі ст. 214 ЦПК України під час ухвалення рішення суд вирішує такі питання: 1) чи мали місце обставини, якими обґрунтовувалися вимоги і заперечення, та якими доказами вони підтверджуються; 2) чи є інші фактичні дані (пропущення строку позовної давності тощо), які мають значення для вирішення справи, та докази на їх підтвердження; 3) які правовідносини сторін випливають із встановлених обставин; 4) яка правова норма підлягає застосуванню до цих правовідносин.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Судами попередніх інстанцій встановлено, матеріалами справи підтверджується, що наказом від 28 квітня 2005 року </w:t>
      </w:r>
      <w:r w:rsidR="000604CF">
        <w:rPr>
          <w:sz w:val="28"/>
          <w:szCs w:val="28"/>
        </w:rPr>
        <w:t>№</w:t>
      </w:r>
      <w:r w:rsidRPr="000604CF">
        <w:rPr>
          <w:sz w:val="28"/>
          <w:szCs w:val="28"/>
        </w:rPr>
        <w:t xml:space="preserve"> 6 ОСОБА-1 прийнятий на посаду виконроба ПП "Оздоб-Сервіс" з 4 червня 2005 року з місячним окладом у 450 грн. 30 квітня 2005 р. з ним укладена трудова угода, згідно з якою підприємство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>язується виплачувати йому 100 грн. за один день за перевезення на власному автомобілі працівників та матеріалів на об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>єкти підприємства, а 2 червня 2005 року між ними укладена трудова угода до 2 червня 2006 року, згідно з якою відповідач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язується виплачувати виконробу ОСОБА-1 зарплату в 2000 грн. щомісяця.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Згідно діючого трудового законодавства України регулювання оплати праці здійснюється на основі державного та договірного регулювання.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Відповідно до ст. 21 КЗпП України трудовим договором є угода між працівником і власником підприємства, за якою працівник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>язується виконувати роботу, визначеною цієї угодою, з підляганням внутрішньому трудовому розпорядкові, а власник підприємства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язується виплачувати працівникові заробітну плату і забезпечувати умови праці, необхідні для виконання роботи, передбачені законодавством про працю і угодою сторін.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Директор ПП "Оздоб-Сервіс" у судовому засіданні не оспорював свої підписи під зазначеними трудовими угодами, разом з тим посилався на те, що позивач мав доступ до примірників таких угод з його підписами для прийняття на роботу інших працівників і міг цим скористатися.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Частиною 3 ст. 10 ЦПК України передбачено, що кожна сторона повинна довести ті обставини, на які вона посилається, як на підставу своїх вимог або заперечень, крім випадків встановлених законом.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Відповідно до ст. 212 ЦПК України суд оцінює докази за своїм внутрішнім переконанням, що ґрунтується на всебічному, повному, об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єктивному та безпосередньому дослідженні наявних у справі доказів. Жоден доказ не має для суду наперед встановленого значення. Суд оцінює належність, допустимість, </w:t>
      </w:r>
      <w:r w:rsidRPr="000604CF">
        <w:rPr>
          <w:sz w:val="28"/>
          <w:szCs w:val="28"/>
        </w:rPr>
        <w:lastRenderedPageBreak/>
        <w:t>достовірність кожного доказу окремо, а також достатність і взаємний зв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язок доказів в їх сукупності.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У порушення вимог зазначених вище норм матеріального та процесуального права суд як першої, так і апеляційної інстанції при перегляді рішення суду, належним чином доводи позивача та заперечення відповідача не перевірили. Відповідач заявив про сумнів з приводу достовірності письмових трудових угод, проте суд на порушення вимог ч. 2 ст. 185 ЦПК України належним чином не перевірив їх достовірність і в судовому акті щодо цього не зробив свого висновку, зокрема не з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ясував, які звіти здавались відповідачем в податкову інспекцію та Пенсійний фонд, з якої суми сплачували податки тощо.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Крім того, визнаючи, що відповідач заборгував перед позивачем у виплаті зарплати в сумі 568 грн., суд зазначену суму на його користь не стягнув, пославшись на те, що вона депонована і позивач відмовляється її отримати. Проте вона депонована не на особовому рахунку позивача, а на рахунку підприємства і позивач її не отримував, оспорюючи розмір нарахування зарплати, саме тому звернувся за вирішенням спору до суду.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Відмовляючи у стягненні суми за трудовою угодою від 30 квітня 2005 р. та визнаючи її цивільно-правовим договором, за якою відповідач ніяких зобов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язань перед позивачем не порушував, суди також припустились помилки у тлумаченні норм матеріального права.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Судами установлено, що наказ про прийняття позивача на роботу підписаний 28 квітня 2005 р., а зазначена трудова угода укладена 30 квітня 2005 р. Директор підприємства в судовому засіданні пояснив, що згідно цієї угоди виплачував позивачу по 100 грн. до середини грудня 2005 р.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>Для вирішення питання проте, чи відповідає підписана сторонами трудова угода вимогам трудового законодавства, чи є вона різновидом цивільно-правової угоди суду слід було з</w:t>
      </w:r>
      <w:r w:rsidR="000604CF">
        <w:rPr>
          <w:sz w:val="28"/>
          <w:szCs w:val="28"/>
        </w:rPr>
        <w:t>’</w:t>
      </w:r>
      <w:r w:rsidRPr="000604CF">
        <w:rPr>
          <w:sz w:val="28"/>
          <w:szCs w:val="28"/>
        </w:rPr>
        <w:t xml:space="preserve">ясувати: чи підлягав позивач внутрішньому трудовому розпорядкові; яким чином відповідач виплачував йому кошти за роботу; чи в один і той же час він їх отримував; чи відповідала виконувана ним робота змісту трудової угоди; чи утримувався відповідачем податок з цих сум; чи було фактичне суміщення професій тощо.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При доведеності таких фактів суду слід зробити висновок про наявність між сторонами трудових відносин відносно угоди від 30 квітня 2005 року.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За таких обставин рішення судів не відповідають вимогам ст. 213 ЦПК України щодо законності й обґрунтованості і зазначені вище порушення призвели до неправильного вирішення спору, що в силу ст. 338 ЦПК України є підставою для скасування ухвалених судових рішень з передачею справи на новий розгляд до суду першої інстанції.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Керуючись ст. ст. 336, 338 ЦПК України, колегія суддів Судової палати у цивільних справах Верховного Суду України, </w:t>
      </w:r>
      <w:r w:rsidRPr="000604CF">
        <w:rPr>
          <w:b/>
          <w:bCs/>
          <w:sz w:val="28"/>
          <w:szCs w:val="28"/>
        </w:rPr>
        <w:t>ухвалила</w:t>
      </w:r>
      <w:r w:rsidRPr="000604CF">
        <w:rPr>
          <w:sz w:val="28"/>
          <w:szCs w:val="28"/>
        </w:rPr>
        <w:t xml:space="preserve">: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Касаційну скаргу ОСОБА-1 задовольнити.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lastRenderedPageBreak/>
        <w:t xml:space="preserve">Рішення Броварського міськрайонного суду Київської області від 11 квітня 2007 року та ухвалу апеляційного суду Київської області від 2 вересня 2008 року скасувати, а справу передати на новий розгляд до суду першої інстанції. </w:t>
      </w:r>
    </w:p>
    <w:p w:rsidR="009A647F" w:rsidRPr="000604CF" w:rsidRDefault="00062B7E" w:rsidP="000604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4CF">
        <w:rPr>
          <w:sz w:val="28"/>
          <w:szCs w:val="28"/>
        </w:rPr>
        <w:t xml:space="preserve">Ухвала оскарженню не підлягає. </w:t>
      </w:r>
    </w:p>
    <w:sectPr w:rsidR="009A647F" w:rsidRPr="0006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E"/>
    <w:rsid w:val="000604CF"/>
    <w:rsid w:val="00062B7E"/>
    <w:rsid w:val="002745B0"/>
    <w:rsid w:val="009A647F"/>
    <w:rsid w:val="009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C8A-1A56-4B63-A6D8-5956C3B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5292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2014-10-05T16:48:00Z</dcterms:created>
  <dcterms:modified xsi:type="dcterms:W3CDTF">2014-11-08T19:57:00Z</dcterms:modified>
</cp:coreProperties>
</file>