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F21" w:rsidRPr="0082143D" w:rsidRDefault="00F866C6" w:rsidP="0082143D">
      <w:pPr>
        <w:pStyle w:val="2"/>
        <w:spacing w:before="0" w:beforeAutospacing="0" w:after="0" w:afterAutospacing="0" w:line="276" w:lineRule="auto"/>
        <w:jc w:val="center"/>
        <w:rPr>
          <w:rFonts w:eastAsia="Times New Roman"/>
          <w:sz w:val="28"/>
          <w:szCs w:val="28"/>
        </w:rPr>
      </w:pPr>
      <w:r w:rsidRPr="0082143D">
        <w:rPr>
          <w:rFonts w:eastAsia="Times New Roman"/>
          <w:sz w:val="28"/>
          <w:szCs w:val="28"/>
        </w:rPr>
        <w:t xml:space="preserve">КАБІНЕТ МІНІСТРІВ УКРАЇНИ </w:t>
      </w:r>
    </w:p>
    <w:p w:rsidR="007B2F21" w:rsidRPr="0082143D" w:rsidRDefault="00F866C6" w:rsidP="0082143D">
      <w:pPr>
        <w:pStyle w:val="2"/>
        <w:spacing w:before="0" w:beforeAutospacing="0" w:after="0" w:afterAutospacing="0" w:line="276" w:lineRule="auto"/>
        <w:jc w:val="center"/>
        <w:rPr>
          <w:rFonts w:eastAsia="Times New Roman"/>
          <w:sz w:val="28"/>
          <w:szCs w:val="28"/>
        </w:rPr>
      </w:pPr>
      <w:r w:rsidRPr="0082143D">
        <w:rPr>
          <w:rFonts w:eastAsia="Times New Roman"/>
          <w:sz w:val="28"/>
          <w:szCs w:val="28"/>
        </w:rPr>
        <w:t xml:space="preserve">ПОСТАНОВА </w:t>
      </w:r>
    </w:p>
    <w:p w:rsidR="007B2F21" w:rsidRPr="0082143D" w:rsidRDefault="00F866C6" w:rsidP="0082143D">
      <w:pPr>
        <w:pStyle w:val="a3"/>
        <w:spacing w:before="0" w:beforeAutospacing="0" w:after="0" w:afterAutospacing="0" w:line="276" w:lineRule="auto"/>
        <w:jc w:val="center"/>
        <w:rPr>
          <w:sz w:val="28"/>
          <w:szCs w:val="28"/>
        </w:rPr>
      </w:pPr>
      <w:r w:rsidRPr="0082143D">
        <w:rPr>
          <w:b/>
          <w:bCs/>
          <w:sz w:val="28"/>
          <w:szCs w:val="28"/>
        </w:rPr>
        <w:t xml:space="preserve">від 21 лютого 2001 р. </w:t>
      </w:r>
      <w:r w:rsidR="0082143D">
        <w:rPr>
          <w:b/>
          <w:bCs/>
          <w:sz w:val="28"/>
          <w:szCs w:val="28"/>
        </w:rPr>
        <w:t>№</w:t>
      </w:r>
      <w:r w:rsidRPr="0082143D">
        <w:rPr>
          <w:b/>
          <w:bCs/>
          <w:sz w:val="28"/>
          <w:szCs w:val="28"/>
        </w:rPr>
        <w:t xml:space="preserve"> 159 </w:t>
      </w:r>
    </w:p>
    <w:p w:rsidR="007B2F21" w:rsidRDefault="00F866C6" w:rsidP="0082143D">
      <w:pPr>
        <w:pStyle w:val="a3"/>
        <w:spacing w:before="0" w:beforeAutospacing="0" w:after="0" w:afterAutospacing="0" w:line="276" w:lineRule="auto"/>
        <w:jc w:val="center"/>
        <w:rPr>
          <w:b/>
          <w:bCs/>
          <w:sz w:val="28"/>
          <w:szCs w:val="28"/>
        </w:rPr>
      </w:pPr>
      <w:r w:rsidRPr="0082143D">
        <w:rPr>
          <w:b/>
          <w:bCs/>
          <w:sz w:val="28"/>
          <w:szCs w:val="28"/>
        </w:rPr>
        <w:t xml:space="preserve">Київ </w:t>
      </w:r>
    </w:p>
    <w:p w:rsidR="0082143D" w:rsidRPr="0082143D" w:rsidRDefault="0082143D" w:rsidP="0082143D">
      <w:pPr>
        <w:pStyle w:val="a3"/>
        <w:spacing w:before="0" w:beforeAutospacing="0" w:after="0" w:afterAutospacing="0" w:line="276" w:lineRule="auto"/>
        <w:jc w:val="center"/>
        <w:rPr>
          <w:sz w:val="28"/>
          <w:szCs w:val="28"/>
        </w:rPr>
      </w:pPr>
    </w:p>
    <w:p w:rsidR="007B2F21" w:rsidRPr="0082143D" w:rsidRDefault="00F866C6" w:rsidP="0082143D">
      <w:pPr>
        <w:pStyle w:val="2"/>
        <w:spacing w:before="0" w:beforeAutospacing="0" w:after="0" w:afterAutospacing="0" w:line="276" w:lineRule="auto"/>
        <w:jc w:val="center"/>
        <w:rPr>
          <w:rFonts w:eastAsia="Times New Roman"/>
          <w:sz w:val="32"/>
          <w:szCs w:val="28"/>
        </w:rPr>
      </w:pPr>
      <w:r w:rsidRPr="0082143D">
        <w:rPr>
          <w:rFonts w:eastAsia="Times New Roman"/>
          <w:sz w:val="32"/>
          <w:szCs w:val="28"/>
        </w:rPr>
        <w:t>Про затвердження Порядку проведення компенсації громадянам втрати частини грошових доходів у зв</w:t>
      </w:r>
      <w:r w:rsidR="0082143D" w:rsidRPr="0082143D">
        <w:rPr>
          <w:rFonts w:eastAsia="Times New Roman"/>
          <w:sz w:val="32"/>
          <w:szCs w:val="28"/>
        </w:rPr>
        <w:t>’</w:t>
      </w:r>
      <w:r w:rsidRPr="0082143D">
        <w:rPr>
          <w:rFonts w:eastAsia="Times New Roman"/>
          <w:sz w:val="32"/>
          <w:szCs w:val="28"/>
        </w:rPr>
        <w:t xml:space="preserve">язку з порушенням термінів їх виплати </w:t>
      </w:r>
    </w:p>
    <w:p w:rsidR="0082143D" w:rsidRPr="0082143D" w:rsidRDefault="0082143D" w:rsidP="0082143D">
      <w:pPr>
        <w:pStyle w:val="2"/>
        <w:spacing w:before="0" w:beforeAutospacing="0" w:after="0" w:afterAutospacing="0" w:line="276" w:lineRule="auto"/>
        <w:jc w:val="center"/>
        <w:rPr>
          <w:rFonts w:eastAsia="Times New Roman"/>
          <w:sz w:val="28"/>
          <w:szCs w:val="28"/>
        </w:rPr>
      </w:pPr>
    </w:p>
    <w:p w:rsidR="007B2F21" w:rsidRDefault="00F866C6" w:rsidP="0082143D">
      <w:pPr>
        <w:pStyle w:val="a3"/>
        <w:spacing w:before="0" w:beforeAutospacing="0" w:after="0" w:afterAutospacing="0" w:line="276" w:lineRule="auto"/>
        <w:jc w:val="center"/>
        <w:rPr>
          <w:sz w:val="28"/>
          <w:szCs w:val="28"/>
        </w:rPr>
      </w:pPr>
      <w:r w:rsidRPr="0082143D">
        <w:rPr>
          <w:sz w:val="28"/>
          <w:szCs w:val="28"/>
        </w:rPr>
        <w:t>Із змінами і доповненнями, внесеними</w:t>
      </w:r>
      <w:r w:rsidRPr="0082143D">
        <w:rPr>
          <w:sz w:val="28"/>
          <w:szCs w:val="28"/>
        </w:rPr>
        <w:br/>
        <w:t> постановами Кабінету Міністрів України</w:t>
      </w:r>
      <w:r w:rsidRPr="0082143D">
        <w:rPr>
          <w:sz w:val="28"/>
          <w:szCs w:val="28"/>
        </w:rPr>
        <w:br/>
        <w:t xml:space="preserve"> від 9 серпня 2001 року </w:t>
      </w:r>
      <w:r w:rsidR="0082143D">
        <w:rPr>
          <w:sz w:val="28"/>
          <w:szCs w:val="28"/>
        </w:rPr>
        <w:t>№</w:t>
      </w:r>
      <w:r w:rsidRPr="0082143D">
        <w:rPr>
          <w:sz w:val="28"/>
          <w:szCs w:val="28"/>
        </w:rPr>
        <w:t xml:space="preserve"> 958,</w:t>
      </w:r>
      <w:r w:rsidRPr="0082143D">
        <w:rPr>
          <w:sz w:val="28"/>
          <w:szCs w:val="28"/>
        </w:rPr>
        <w:br/>
        <w:t xml:space="preserve"> від 31 березня 2003 року </w:t>
      </w:r>
      <w:r w:rsidR="0082143D">
        <w:rPr>
          <w:sz w:val="28"/>
          <w:szCs w:val="28"/>
        </w:rPr>
        <w:t>№</w:t>
      </w:r>
      <w:r w:rsidRPr="0082143D">
        <w:rPr>
          <w:sz w:val="28"/>
          <w:szCs w:val="28"/>
        </w:rPr>
        <w:t xml:space="preserve"> 430,</w:t>
      </w:r>
      <w:r w:rsidRPr="0082143D">
        <w:rPr>
          <w:sz w:val="28"/>
          <w:szCs w:val="28"/>
        </w:rPr>
        <w:br/>
        <w:t xml:space="preserve"> від 25 січня 2012 року </w:t>
      </w:r>
      <w:r w:rsidR="0082143D">
        <w:rPr>
          <w:sz w:val="28"/>
          <w:szCs w:val="28"/>
        </w:rPr>
        <w:t>№</w:t>
      </w:r>
      <w:r w:rsidRPr="0082143D">
        <w:rPr>
          <w:sz w:val="28"/>
          <w:szCs w:val="28"/>
        </w:rPr>
        <w:t xml:space="preserve"> 35</w:t>
      </w:r>
    </w:p>
    <w:p w:rsidR="0082143D" w:rsidRPr="0082143D" w:rsidRDefault="0082143D" w:rsidP="0082143D">
      <w:pPr>
        <w:pStyle w:val="a3"/>
        <w:spacing w:before="0" w:beforeAutospacing="0" w:after="0" w:afterAutospacing="0" w:line="276" w:lineRule="auto"/>
        <w:jc w:val="center"/>
        <w:rPr>
          <w:sz w:val="28"/>
          <w:szCs w:val="28"/>
        </w:rPr>
      </w:pPr>
    </w:p>
    <w:p w:rsidR="007B2F21" w:rsidRPr="0082143D" w:rsidRDefault="00F866C6" w:rsidP="0082143D">
      <w:pPr>
        <w:pStyle w:val="a3"/>
        <w:spacing w:before="0" w:beforeAutospacing="0" w:after="0" w:afterAutospacing="0" w:line="276" w:lineRule="auto"/>
        <w:jc w:val="both"/>
        <w:rPr>
          <w:sz w:val="28"/>
          <w:szCs w:val="28"/>
        </w:rPr>
      </w:pPr>
      <w:r w:rsidRPr="0082143D">
        <w:rPr>
          <w:sz w:val="28"/>
          <w:szCs w:val="28"/>
        </w:rPr>
        <w:t>З метою реалізації Закону України "Про компенсацію громадянам втрати частини доходів у зв</w:t>
      </w:r>
      <w:r w:rsidR="0082143D">
        <w:rPr>
          <w:sz w:val="28"/>
          <w:szCs w:val="28"/>
        </w:rPr>
        <w:t>’</w:t>
      </w:r>
      <w:r w:rsidRPr="0082143D">
        <w:rPr>
          <w:sz w:val="28"/>
          <w:szCs w:val="28"/>
        </w:rPr>
        <w:t xml:space="preserve">язку з порушенням строків їх виплати" Кабінет Міністрів України </w:t>
      </w:r>
      <w:r w:rsidRPr="0082143D">
        <w:rPr>
          <w:b/>
          <w:bCs/>
          <w:sz w:val="28"/>
          <w:szCs w:val="28"/>
        </w:rPr>
        <w:t>ПОСТАНОВЛЯЄ</w:t>
      </w:r>
      <w:r w:rsidRPr="0082143D">
        <w:rPr>
          <w:sz w:val="28"/>
          <w:szCs w:val="28"/>
        </w:rPr>
        <w:t xml:space="preserve">: </w:t>
      </w:r>
    </w:p>
    <w:p w:rsidR="007B2F21" w:rsidRPr="0082143D" w:rsidRDefault="00F866C6" w:rsidP="0082143D">
      <w:pPr>
        <w:pStyle w:val="a3"/>
        <w:spacing w:before="0" w:beforeAutospacing="0" w:after="0" w:afterAutospacing="0" w:line="276" w:lineRule="auto"/>
        <w:jc w:val="both"/>
        <w:rPr>
          <w:sz w:val="28"/>
          <w:szCs w:val="28"/>
        </w:rPr>
      </w:pPr>
      <w:r w:rsidRPr="0082143D">
        <w:rPr>
          <w:sz w:val="28"/>
          <w:szCs w:val="28"/>
        </w:rPr>
        <w:t>1. Затвердити Порядок проведення компенсації громадянам втрати частини грошових доходів у зв</w:t>
      </w:r>
      <w:r w:rsidR="0082143D">
        <w:rPr>
          <w:sz w:val="28"/>
          <w:szCs w:val="28"/>
        </w:rPr>
        <w:t>’</w:t>
      </w:r>
      <w:r w:rsidRPr="0082143D">
        <w:rPr>
          <w:sz w:val="28"/>
          <w:szCs w:val="28"/>
        </w:rPr>
        <w:t xml:space="preserve">язку з порушенням термінів їх виплати (додається). </w:t>
      </w:r>
    </w:p>
    <w:p w:rsidR="007B2F21" w:rsidRDefault="00F866C6" w:rsidP="0082143D">
      <w:pPr>
        <w:pStyle w:val="a3"/>
        <w:spacing w:before="0" w:beforeAutospacing="0" w:after="0" w:afterAutospacing="0" w:line="276" w:lineRule="auto"/>
        <w:jc w:val="both"/>
        <w:rPr>
          <w:sz w:val="28"/>
          <w:szCs w:val="28"/>
        </w:rPr>
      </w:pPr>
      <w:r w:rsidRPr="0082143D">
        <w:rPr>
          <w:sz w:val="28"/>
          <w:szCs w:val="28"/>
        </w:rPr>
        <w:t>2. Установити, що компенсація працівникам втрати частини заробітної плати у зв</w:t>
      </w:r>
      <w:r w:rsidR="0082143D">
        <w:rPr>
          <w:sz w:val="28"/>
          <w:szCs w:val="28"/>
        </w:rPr>
        <w:t>’</w:t>
      </w:r>
      <w:r w:rsidRPr="0082143D">
        <w:rPr>
          <w:sz w:val="28"/>
          <w:szCs w:val="28"/>
        </w:rPr>
        <w:t>язку з порушенням термінів її виплати, нарахованої працівникові за період роботи з 1 січня 1998 р. по 31 грудня 2000 р., проводиться відповідно до Положення про порядок компенсації працівникам втрати частини заробітної плати у зв</w:t>
      </w:r>
      <w:r w:rsidR="0082143D">
        <w:rPr>
          <w:sz w:val="28"/>
          <w:szCs w:val="28"/>
        </w:rPr>
        <w:t>’</w:t>
      </w:r>
      <w:r w:rsidRPr="0082143D">
        <w:rPr>
          <w:sz w:val="28"/>
          <w:szCs w:val="28"/>
        </w:rPr>
        <w:t xml:space="preserve">язку з порушенням термінів її виплати, затвердженого постановою Кабінету Міністрів України від 20 грудня 1997 р. </w:t>
      </w:r>
      <w:r w:rsidR="0082143D">
        <w:rPr>
          <w:sz w:val="28"/>
          <w:szCs w:val="28"/>
        </w:rPr>
        <w:t>№</w:t>
      </w:r>
      <w:r w:rsidRPr="0082143D">
        <w:rPr>
          <w:sz w:val="28"/>
          <w:szCs w:val="28"/>
        </w:rPr>
        <w:t xml:space="preserve"> 1427 (Офіційний вісник України, 1997 р., число 52, с. 50; 1999 р., </w:t>
      </w:r>
      <w:r w:rsidR="0082143D">
        <w:rPr>
          <w:sz w:val="28"/>
          <w:szCs w:val="28"/>
        </w:rPr>
        <w:t>№</w:t>
      </w:r>
      <w:r w:rsidRPr="0082143D">
        <w:rPr>
          <w:sz w:val="28"/>
          <w:szCs w:val="28"/>
        </w:rPr>
        <w:t xml:space="preserve"> 17, ст. 739), до ліквідації заборгованості із заробітної плати за зазначений період. </w:t>
      </w:r>
    </w:p>
    <w:p w:rsidR="0082143D" w:rsidRDefault="0082143D" w:rsidP="0082143D">
      <w:pPr>
        <w:pStyle w:val="a3"/>
        <w:spacing w:before="0" w:beforeAutospacing="0" w:after="0" w:afterAutospacing="0" w:line="276" w:lineRule="auto"/>
        <w:jc w:val="both"/>
        <w:rPr>
          <w:sz w:val="28"/>
          <w:szCs w:val="28"/>
        </w:rPr>
      </w:pPr>
    </w:p>
    <w:p w:rsidR="0082143D" w:rsidRPr="0082143D" w:rsidRDefault="0082143D" w:rsidP="0082143D">
      <w:pPr>
        <w:pStyle w:val="a3"/>
        <w:spacing w:before="0" w:beforeAutospacing="0" w:after="0" w:afterAutospacing="0" w:line="276" w:lineRule="auto"/>
        <w:jc w:val="both"/>
        <w:rPr>
          <w:sz w:val="28"/>
          <w:szCs w:val="28"/>
        </w:rPr>
      </w:pPr>
      <w:r w:rsidRPr="0082143D">
        <w:rPr>
          <w:b/>
          <w:bCs/>
          <w:sz w:val="28"/>
          <w:szCs w:val="28"/>
        </w:rPr>
        <w:t>Прем</w:t>
      </w:r>
      <w:r>
        <w:rPr>
          <w:b/>
          <w:bCs/>
          <w:sz w:val="28"/>
          <w:szCs w:val="28"/>
        </w:rPr>
        <w:t>’</w:t>
      </w:r>
      <w:r w:rsidRPr="0082143D">
        <w:rPr>
          <w:b/>
          <w:bCs/>
          <w:sz w:val="28"/>
          <w:szCs w:val="28"/>
        </w:rPr>
        <w:t>єр-міністр України</w:t>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82143D">
        <w:rPr>
          <w:sz w:val="28"/>
          <w:szCs w:val="28"/>
        </w:rPr>
        <w:t> </w:t>
      </w:r>
      <w:r w:rsidRPr="0082143D">
        <w:rPr>
          <w:b/>
          <w:bCs/>
          <w:sz w:val="28"/>
          <w:szCs w:val="28"/>
        </w:rPr>
        <w:t>В. ЮЩЕНКО</w:t>
      </w:r>
      <w:r w:rsidRPr="0082143D">
        <w:rPr>
          <w:sz w:val="28"/>
          <w:szCs w:val="28"/>
        </w:rPr>
        <w:t> </w:t>
      </w:r>
    </w:p>
    <w:p w:rsidR="0082143D" w:rsidRDefault="00F866C6" w:rsidP="0082143D">
      <w:pPr>
        <w:pStyle w:val="a3"/>
        <w:spacing w:before="0" w:beforeAutospacing="0" w:after="0" w:afterAutospacing="0" w:line="276" w:lineRule="auto"/>
        <w:jc w:val="right"/>
        <w:rPr>
          <w:sz w:val="28"/>
          <w:szCs w:val="28"/>
        </w:rPr>
      </w:pPr>
      <w:r w:rsidRPr="0082143D">
        <w:rPr>
          <w:sz w:val="28"/>
          <w:szCs w:val="28"/>
        </w:rPr>
        <w:t> </w:t>
      </w:r>
    </w:p>
    <w:p w:rsidR="007B2F21" w:rsidRPr="0082143D" w:rsidRDefault="0082143D" w:rsidP="0082143D">
      <w:pPr>
        <w:pStyle w:val="a3"/>
        <w:spacing w:before="0" w:beforeAutospacing="0" w:after="0" w:afterAutospacing="0" w:line="276" w:lineRule="auto"/>
        <w:jc w:val="right"/>
        <w:rPr>
          <w:sz w:val="28"/>
          <w:szCs w:val="28"/>
        </w:rPr>
      </w:pPr>
      <w:r w:rsidRPr="0082143D">
        <w:rPr>
          <w:sz w:val="28"/>
          <w:szCs w:val="28"/>
        </w:rPr>
        <w:t xml:space="preserve">ЗАТВЕРДЖЕНО </w:t>
      </w:r>
      <w:r w:rsidRPr="0082143D">
        <w:rPr>
          <w:sz w:val="28"/>
          <w:szCs w:val="28"/>
        </w:rPr>
        <w:br/>
        <w:t>постановою Кабінету Міністрів України</w:t>
      </w:r>
      <w:r w:rsidRPr="0082143D">
        <w:rPr>
          <w:sz w:val="28"/>
          <w:szCs w:val="28"/>
        </w:rPr>
        <w:br/>
        <w:t xml:space="preserve">від 21 лютого 2001 р. </w:t>
      </w:r>
      <w:r>
        <w:rPr>
          <w:sz w:val="28"/>
          <w:szCs w:val="28"/>
        </w:rPr>
        <w:t>№</w:t>
      </w:r>
      <w:r w:rsidRPr="0082143D">
        <w:rPr>
          <w:sz w:val="28"/>
          <w:szCs w:val="28"/>
        </w:rPr>
        <w:t xml:space="preserve"> 159 </w:t>
      </w:r>
      <w:r w:rsidR="00F866C6" w:rsidRPr="0082143D">
        <w:rPr>
          <w:sz w:val="28"/>
          <w:szCs w:val="28"/>
        </w:rPr>
        <w:br w:type="textWrapping" w:clear="all"/>
      </w:r>
    </w:p>
    <w:p w:rsidR="007B2F21" w:rsidRDefault="00F866C6" w:rsidP="0082143D">
      <w:pPr>
        <w:pStyle w:val="3"/>
        <w:spacing w:before="0" w:beforeAutospacing="0" w:after="0" w:afterAutospacing="0" w:line="276" w:lineRule="auto"/>
        <w:jc w:val="center"/>
        <w:rPr>
          <w:rFonts w:eastAsia="Times New Roman"/>
          <w:sz w:val="32"/>
          <w:szCs w:val="28"/>
        </w:rPr>
      </w:pPr>
      <w:r w:rsidRPr="0082143D">
        <w:rPr>
          <w:rFonts w:eastAsia="Times New Roman"/>
          <w:sz w:val="32"/>
          <w:szCs w:val="28"/>
        </w:rPr>
        <w:t>ПОРЯДОК</w:t>
      </w:r>
      <w:r w:rsidRPr="0082143D">
        <w:rPr>
          <w:rFonts w:eastAsia="Times New Roman"/>
          <w:sz w:val="32"/>
          <w:szCs w:val="28"/>
        </w:rPr>
        <w:br/>
        <w:t>проведення компенсації громадянам втрати частини грошових доходів у зв</w:t>
      </w:r>
      <w:r w:rsidR="0082143D" w:rsidRPr="0082143D">
        <w:rPr>
          <w:rFonts w:eastAsia="Times New Roman"/>
          <w:sz w:val="32"/>
          <w:szCs w:val="28"/>
        </w:rPr>
        <w:t>’</w:t>
      </w:r>
      <w:r w:rsidRPr="0082143D">
        <w:rPr>
          <w:rFonts w:eastAsia="Times New Roman"/>
          <w:sz w:val="32"/>
          <w:szCs w:val="28"/>
        </w:rPr>
        <w:t xml:space="preserve">язку з порушенням термінів їх виплати </w:t>
      </w:r>
    </w:p>
    <w:p w:rsidR="0082143D" w:rsidRPr="0082143D" w:rsidRDefault="0082143D" w:rsidP="0082143D">
      <w:pPr>
        <w:pStyle w:val="3"/>
        <w:spacing w:before="0" w:beforeAutospacing="0" w:after="0" w:afterAutospacing="0" w:line="276" w:lineRule="auto"/>
        <w:jc w:val="center"/>
        <w:rPr>
          <w:rFonts w:eastAsia="Times New Roman"/>
          <w:sz w:val="32"/>
          <w:szCs w:val="28"/>
        </w:rPr>
      </w:pPr>
    </w:p>
    <w:p w:rsidR="007B2F21" w:rsidRPr="0082143D" w:rsidRDefault="00F866C6" w:rsidP="0082143D">
      <w:pPr>
        <w:pStyle w:val="a3"/>
        <w:spacing w:before="0" w:beforeAutospacing="0" w:after="0" w:afterAutospacing="0" w:line="276" w:lineRule="auto"/>
        <w:jc w:val="both"/>
        <w:rPr>
          <w:sz w:val="28"/>
          <w:szCs w:val="28"/>
        </w:rPr>
      </w:pPr>
      <w:r w:rsidRPr="0082143D">
        <w:rPr>
          <w:sz w:val="28"/>
          <w:szCs w:val="28"/>
        </w:rPr>
        <w:lastRenderedPageBreak/>
        <w:t xml:space="preserve">1. Дія цього Порядку поширюється на підприємства, установи та організації всіх форм власності і господарювання та застосовується у всіх випадках порушення встановлених термінів виплати грошових доходів, у тому числі з вини власника або уповноваженого ним органу (особи). </w:t>
      </w:r>
    </w:p>
    <w:p w:rsidR="007B2F21" w:rsidRPr="0082143D" w:rsidRDefault="00F866C6" w:rsidP="0082143D">
      <w:pPr>
        <w:pStyle w:val="a3"/>
        <w:spacing w:before="0" w:beforeAutospacing="0" w:after="0" w:afterAutospacing="0" w:line="276" w:lineRule="auto"/>
        <w:jc w:val="both"/>
        <w:rPr>
          <w:sz w:val="28"/>
          <w:szCs w:val="28"/>
        </w:rPr>
      </w:pPr>
      <w:r w:rsidRPr="0082143D">
        <w:rPr>
          <w:sz w:val="28"/>
          <w:szCs w:val="28"/>
        </w:rPr>
        <w:t>2. Компенсація громадянам втрати частини грошових доходів у зв</w:t>
      </w:r>
      <w:r w:rsidR="0082143D">
        <w:rPr>
          <w:sz w:val="28"/>
          <w:szCs w:val="28"/>
        </w:rPr>
        <w:t>’</w:t>
      </w:r>
      <w:r w:rsidRPr="0082143D">
        <w:rPr>
          <w:sz w:val="28"/>
          <w:szCs w:val="28"/>
        </w:rPr>
        <w:t xml:space="preserve">язку з порушенням термінів їх виплати (далі - компенсація) проводиться у разі затримки на один і більше календарних місяців виплати грошових доходів, нарахованих громадянам за період, починаючи з 1 січня 2001 року. </w:t>
      </w:r>
    </w:p>
    <w:p w:rsidR="007B2F21" w:rsidRPr="0082143D" w:rsidRDefault="00F866C6" w:rsidP="0082143D">
      <w:pPr>
        <w:pStyle w:val="a3"/>
        <w:spacing w:before="0" w:beforeAutospacing="0" w:after="0" w:afterAutospacing="0" w:line="276" w:lineRule="auto"/>
        <w:jc w:val="both"/>
        <w:rPr>
          <w:sz w:val="28"/>
          <w:szCs w:val="28"/>
        </w:rPr>
      </w:pPr>
      <w:r w:rsidRPr="0082143D">
        <w:rPr>
          <w:sz w:val="28"/>
          <w:szCs w:val="28"/>
        </w:rPr>
        <w:t xml:space="preserve">3. Компенсації підлягають такі грошові доходи разом із сумою індексації, які одержують громадяни в гривнях на території України і не мають разового характеру: </w:t>
      </w:r>
    </w:p>
    <w:p w:rsidR="007B2F21" w:rsidRPr="0082143D" w:rsidRDefault="00F866C6" w:rsidP="0082143D">
      <w:pPr>
        <w:pStyle w:val="a3"/>
        <w:spacing w:before="0" w:beforeAutospacing="0" w:after="0" w:afterAutospacing="0" w:line="276" w:lineRule="auto"/>
        <w:jc w:val="both"/>
        <w:rPr>
          <w:sz w:val="28"/>
          <w:szCs w:val="28"/>
        </w:rPr>
      </w:pPr>
      <w:r w:rsidRPr="0082143D">
        <w:rPr>
          <w:sz w:val="28"/>
          <w:szCs w:val="28"/>
        </w:rPr>
        <w:t xml:space="preserve">пенсії (з урахуванням надбавок, доплат, підвищень до пенсії, додаткової пенсії, цільової грошової допомоги на прожиття, щомісячної державної грошової допомоги та компенсаційних виплат); </w:t>
      </w:r>
    </w:p>
    <w:p w:rsidR="007B2F21" w:rsidRPr="0082143D" w:rsidRDefault="00F866C6" w:rsidP="0082143D">
      <w:pPr>
        <w:pStyle w:val="a3"/>
        <w:spacing w:before="0" w:beforeAutospacing="0" w:after="0" w:afterAutospacing="0" w:line="276" w:lineRule="auto"/>
        <w:jc w:val="both"/>
        <w:rPr>
          <w:sz w:val="28"/>
          <w:szCs w:val="28"/>
        </w:rPr>
      </w:pPr>
      <w:r w:rsidRPr="0082143D">
        <w:rPr>
          <w:sz w:val="28"/>
          <w:szCs w:val="28"/>
        </w:rPr>
        <w:t>соціальні виплати (допомога сім</w:t>
      </w:r>
      <w:r w:rsidR="0082143D">
        <w:rPr>
          <w:sz w:val="28"/>
          <w:szCs w:val="28"/>
        </w:rPr>
        <w:t>’</w:t>
      </w:r>
      <w:r w:rsidRPr="0082143D">
        <w:rPr>
          <w:sz w:val="28"/>
          <w:szCs w:val="28"/>
        </w:rPr>
        <w:t xml:space="preserve">ям з дітьми, державна соціальна допомога інвалідам з дитинства та дітям-інвалідам, допомога по безробіттю, матеріальна допомога у період професійної підготовки, перепідготовки або підвищення кваліфікації безробітного, матеріальна допомога по безробіттю, допомога по тимчасовій непрацездатності (включаючи догляд за хворою дитиною), допомога по вагітності та пологах, щомісячна грошова сума в разі часткової чи повної втрати працездатності, що компенсує відповідну частину втраченого заробітку потерпілого внаслідок нещасного випадку на виробництві або професійного захворювання, допомога дитині, яка народилася інвалідом внаслідок травмування на виробництві або професійного захворювання її матері під час вагітності, тощо); </w:t>
      </w:r>
    </w:p>
    <w:p w:rsidR="007B2F21" w:rsidRPr="0082143D" w:rsidRDefault="00F866C6" w:rsidP="0082143D">
      <w:pPr>
        <w:pStyle w:val="a3"/>
        <w:spacing w:before="0" w:beforeAutospacing="0" w:after="0" w:afterAutospacing="0" w:line="276" w:lineRule="auto"/>
        <w:jc w:val="both"/>
        <w:rPr>
          <w:sz w:val="28"/>
          <w:szCs w:val="28"/>
        </w:rPr>
      </w:pPr>
      <w:r w:rsidRPr="0082143D">
        <w:rPr>
          <w:sz w:val="28"/>
          <w:szCs w:val="28"/>
        </w:rPr>
        <w:t xml:space="preserve">стипендії; </w:t>
      </w:r>
    </w:p>
    <w:p w:rsidR="007B2F21" w:rsidRPr="0082143D" w:rsidRDefault="00F866C6" w:rsidP="0082143D">
      <w:pPr>
        <w:pStyle w:val="a3"/>
        <w:spacing w:before="0" w:beforeAutospacing="0" w:after="0" w:afterAutospacing="0" w:line="276" w:lineRule="auto"/>
        <w:jc w:val="both"/>
        <w:rPr>
          <w:sz w:val="28"/>
          <w:szCs w:val="28"/>
        </w:rPr>
      </w:pPr>
      <w:r w:rsidRPr="0082143D">
        <w:rPr>
          <w:sz w:val="28"/>
          <w:szCs w:val="28"/>
        </w:rPr>
        <w:t xml:space="preserve">заробітна плата (грошове забезпечення). </w:t>
      </w:r>
    </w:p>
    <w:p w:rsidR="007B2F21" w:rsidRPr="0082143D" w:rsidRDefault="00F866C6" w:rsidP="0082143D">
      <w:pPr>
        <w:pStyle w:val="a3"/>
        <w:spacing w:before="0" w:beforeAutospacing="0" w:after="0" w:afterAutospacing="0" w:line="276" w:lineRule="auto"/>
        <w:jc w:val="both"/>
        <w:rPr>
          <w:sz w:val="28"/>
          <w:szCs w:val="28"/>
        </w:rPr>
      </w:pPr>
      <w:r w:rsidRPr="0082143D">
        <w:rPr>
          <w:sz w:val="28"/>
          <w:szCs w:val="28"/>
        </w:rPr>
        <w:t>4. Сума компенсації обчислюється як добуток нарахованого, але невиплаченого грошового доходу за відповідний місяць (після утримання податків і обов</w:t>
      </w:r>
      <w:r w:rsidR="0082143D">
        <w:rPr>
          <w:sz w:val="28"/>
          <w:szCs w:val="28"/>
        </w:rPr>
        <w:t>’</w:t>
      </w:r>
      <w:r w:rsidRPr="0082143D">
        <w:rPr>
          <w:sz w:val="28"/>
          <w:szCs w:val="28"/>
        </w:rPr>
        <w:t xml:space="preserve">язкових платежів) і приросту індексу споживчих цін (індексу інфляції) у відсотках для визначення суми компенсації, поділений на 100. </w:t>
      </w:r>
    </w:p>
    <w:p w:rsidR="007B2F21" w:rsidRPr="0082143D" w:rsidRDefault="00F866C6" w:rsidP="0082143D">
      <w:pPr>
        <w:pStyle w:val="a3"/>
        <w:spacing w:before="0" w:beforeAutospacing="0" w:after="0" w:afterAutospacing="0" w:line="276" w:lineRule="auto"/>
        <w:jc w:val="both"/>
        <w:rPr>
          <w:sz w:val="28"/>
          <w:szCs w:val="28"/>
        </w:rPr>
      </w:pPr>
      <w:r w:rsidRPr="0082143D">
        <w:rPr>
          <w:sz w:val="28"/>
          <w:szCs w:val="28"/>
        </w:rPr>
        <w:t xml:space="preserve">Індекс споживчих цін для визначення суми компенсації обчислюється шляхом множення місячних індексів споживчих цін за період невиплати грошового доходу. При цьому індекс споживчих цін у місяці, за який виплачується дохід, до розрахунку не включається. Щомісячні індекси споживчих цін публікуються Держкомстатом. </w:t>
      </w:r>
    </w:p>
    <w:p w:rsidR="007B2F21" w:rsidRPr="0082143D" w:rsidRDefault="00F866C6" w:rsidP="0082143D">
      <w:pPr>
        <w:pStyle w:val="a3"/>
        <w:spacing w:before="0" w:beforeAutospacing="0" w:after="0" w:afterAutospacing="0" w:line="276" w:lineRule="auto"/>
        <w:jc w:val="right"/>
        <w:rPr>
          <w:i/>
          <w:sz w:val="28"/>
          <w:szCs w:val="28"/>
        </w:rPr>
      </w:pPr>
      <w:r w:rsidRPr="0082143D">
        <w:rPr>
          <w:i/>
          <w:sz w:val="28"/>
          <w:szCs w:val="28"/>
        </w:rPr>
        <w:t>(абзац другий пункту 4 із змінами, внесеними згідно з</w:t>
      </w:r>
      <w:r w:rsidRPr="0082143D">
        <w:rPr>
          <w:i/>
          <w:sz w:val="28"/>
          <w:szCs w:val="28"/>
        </w:rPr>
        <w:br/>
        <w:t xml:space="preserve"> постановою Кабінету Міністрів України від 31.03.2003 р. </w:t>
      </w:r>
      <w:r w:rsidR="0082143D" w:rsidRPr="0082143D">
        <w:rPr>
          <w:i/>
          <w:sz w:val="28"/>
          <w:szCs w:val="28"/>
        </w:rPr>
        <w:t>№</w:t>
      </w:r>
      <w:r w:rsidRPr="0082143D">
        <w:rPr>
          <w:i/>
          <w:sz w:val="28"/>
          <w:szCs w:val="28"/>
        </w:rPr>
        <w:t xml:space="preserve"> 430)</w:t>
      </w:r>
    </w:p>
    <w:p w:rsidR="007B2F21" w:rsidRPr="0082143D" w:rsidRDefault="00F866C6" w:rsidP="0082143D">
      <w:pPr>
        <w:pStyle w:val="a3"/>
        <w:spacing w:before="0" w:beforeAutospacing="0" w:after="0" w:afterAutospacing="0" w:line="276" w:lineRule="auto"/>
        <w:jc w:val="both"/>
        <w:rPr>
          <w:sz w:val="28"/>
          <w:szCs w:val="28"/>
        </w:rPr>
      </w:pPr>
      <w:r w:rsidRPr="0082143D">
        <w:rPr>
          <w:sz w:val="28"/>
          <w:szCs w:val="28"/>
        </w:rPr>
        <w:t xml:space="preserve">Приклади обчислення суми компенсації наведено у додатку. </w:t>
      </w:r>
    </w:p>
    <w:p w:rsidR="007B2F21" w:rsidRPr="0082143D" w:rsidRDefault="00F866C6" w:rsidP="0082143D">
      <w:pPr>
        <w:pStyle w:val="a3"/>
        <w:spacing w:before="0" w:beforeAutospacing="0" w:after="0" w:afterAutospacing="0" w:line="276" w:lineRule="auto"/>
        <w:jc w:val="both"/>
        <w:rPr>
          <w:sz w:val="28"/>
          <w:szCs w:val="28"/>
        </w:rPr>
      </w:pPr>
      <w:r w:rsidRPr="0082143D">
        <w:rPr>
          <w:sz w:val="28"/>
          <w:szCs w:val="28"/>
        </w:rPr>
        <w:t xml:space="preserve">5. Сума компенсації виплачується громадянам у тому ж місяці, у якому здійснюється виплата заборгованості за відповідний місяць. </w:t>
      </w:r>
    </w:p>
    <w:p w:rsidR="007B2F21" w:rsidRPr="0082143D" w:rsidRDefault="00F866C6" w:rsidP="0082143D">
      <w:pPr>
        <w:pStyle w:val="a3"/>
        <w:spacing w:before="0" w:beforeAutospacing="0" w:after="0" w:afterAutospacing="0" w:line="276" w:lineRule="auto"/>
        <w:jc w:val="both"/>
        <w:rPr>
          <w:sz w:val="28"/>
          <w:szCs w:val="28"/>
        </w:rPr>
      </w:pPr>
      <w:r w:rsidRPr="0082143D">
        <w:rPr>
          <w:sz w:val="28"/>
          <w:szCs w:val="28"/>
        </w:rPr>
        <w:lastRenderedPageBreak/>
        <w:t xml:space="preserve">6. Своєчасно не отриманий з вини громадянина дохід компенсації не підлягає. </w:t>
      </w:r>
    </w:p>
    <w:p w:rsidR="007B2F21" w:rsidRPr="0082143D" w:rsidRDefault="00F866C6" w:rsidP="0082143D">
      <w:pPr>
        <w:pStyle w:val="a3"/>
        <w:spacing w:before="0" w:beforeAutospacing="0" w:after="0" w:afterAutospacing="0" w:line="276" w:lineRule="auto"/>
        <w:jc w:val="both"/>
        <w:rPr>
          <w:sz w:val="28"/>
          <w:szCs w:val="28"/>
        </w:rPr>
      </w:pPr>
      <w:r w:rsidRPr="0082143D">
        <w:rPr>
          <w:sz w:val="28"/>
          <w:szCs w:val="28"/>
        </w:rPr>
        <w:t xml:space="preserve">7. Компенсація проводиться за рахунок джерел, з яких здійснюються відповідні виплати, а саме: </w:t>
      </w:r>
    </w:p>
    <w:p w:rsidR="007B2F21" w:rsidRPr="0082143D" w:rsidRDefault="00F866C6" w:rsidP="0082143D">
      <w:pPr>
        <w:pStyle w:val="a3"/>
        <w:spacing w:before="0" w:beforeAutospacing="0" w:after="0" w:afterAutospacing="0" w:line="276" w:lineRule="auto"/>
        <w:jc w:val="both"/>
        <w:rPr>
          <w:sz w:val="28"/>
          <w:szCs w:val="28"/>
        </w:rPr>
      </w:pPr>
      <w:r w:rsidRPr="0082143D">
        <w:rPr>
          <w:sz w:val="28"/>
          <w:szCs w:val="28"/>
        </w:rPr>
        <w:t>власних коштів - підприємствами, установами та організаціями, які не фінансуються і не дотуються з бюджету, а також об</w:t>
      </w:r>
      <w:r w:rsidR="0082143D">
        <w:rPr>
          <w:sz w:val="28"/>
          <w:szCs w:val="28"/>
        </w:rPr>
        <w:t>’</w:t>
      </w:r>
      <w:r w:rsidRPr="0082143D">
        <w:rPr>
          <w:sz w:val="28"/>
          <w:szCs w:val="28"/>
        </w:rPr>
        <w:t xml:space="preserve">єднаннями громадян; </w:t>
      </w:r>
    </w:p>
    <w:p w:rsidR="007B2F21" w:rsidRPr="0082143D" w:rsidRDefault="00F866C6" w:rsidP="0082143D">
      <w:pPr>
        <w:pStyle w:val="a3"/>
        <w:spacing w:before="0" w:beforeAutospacing="0" w:after="0" w:afterAutospacing="0" w:line="276" w:lineRule="auto"/>
        <w:jc w:val="both"/>
        <w:rPr>
          <w:sz w:val="28"/>
          <w:szCs w:val="28"/>
        </w:rPr>
      </w:pPr>
      <w:r w:rsidRPr="0082143D">
        <w:rPr>
          <w:sz w:val="28"/>
          <w:szCs w:val="28"/>
        </w:rPr>
        <w:t xml:space="preserve">коштів відповідного бюджету - підприємствами, установами та організаціями, що фінансуються чи дотуються з бюджету; </w:t>
      </w:r>
    </w:p>
    <w:p w:rsidR="007B2F21" w:rsidRPr="0082143D" w:rsidRDefault="00F866C6" w:rsidP="0082143D">
      <w:pPr>
        <w:pStyle w:val="a3"/>
        <w:spacing w:before="0" w:beforeAutospacing="0" w:after="0" w:afterAutospacing="0" w:line="276" w:lineRule="auto"/>
        <w:jc w:val="both"/>
        <w:rPr>
          <w:sz w:val="28"/>
          <w:szCs w:val="28"/>
        </w:rPr>
      </w:pPr>
      <w:r w:rsidRPr="0082143D">
        <w:rPr>
          <w:sz w:val="28"/>
          <w:szCs w:val="28"/>
        </w:rPr>
        <w:t>коштів Пенсійного фонду, фонду соціального страхування з тимчасової втрати працездатності, фонду загальнообов</w:t>
      </w:r>
      <w:r w:rsidR="0082143D">
        <w:rPr>
          <w:sz w:val="28"/>
          <w:szCs w:val="28"/>
        </w:rPr>
        <w:t>’</w:t>
      </w:r>
      <w:r w:rsidRPr="0082143D">
        <w:rPr>
          <w:sz w:val="28"/>
          <w:szCs w:val="28"/>
        </w:rPr>
        <w:t xml:space="preserve">язкового державного соціального страхування на випадок безробіття, фонду соціального страхування від нещасних випадків на виробництві та професійних захворювань, інших цільових соціальних фондів, а також коштів, що спрямовуються на їх виплату з бюджету. </w:t>
      </w:r>
    </w:p>
    <w:p w:rsidR="007B2F21" w:rsidRPr="0082143D" w:rsidRDefault="00F866C6" w:rsidP="0082143D">
      <w:pPr>
        <w:pStyle w:val="a3"/>
        <w:spacing w:before="0" w:beforeAutospacing="0" w:after="0" w:afterAutospacing="0" w:line="276" w:lineRule="auto"/>
        <w:jc w:val="right"/>
        <w:rPr>
          <w:i/>
          <w:sz w:val="28"/>
          <w:szCs w:val="28"/>
        </w:rPr>
      </w:pPr>
      <w:r w:rsidRPr="0082143D">
        <w:rPr>
          <w:i/>
          <w:sz w:val="28"/>
          <w:szCs w:val="28"/>
        </w:rPr>
        <w:t>(абзац четвертий пункту 7 із змінами, внесеними згідно з</w:t>
      </w:r>
      <w:r w:rsidRPr="0082143D">
        <w:rPr>
          <w:i/>
          <w:sz w:val="28"/>
          <w:szCs w:val="28"/>
        </w:rPr>
        <w:br/>
        <w:t xml:space="preserve"> постановою Кабінету Міністрів України від 09.08.2001 р. </w:t>
      </w:r>
      <w:r w:rsidR="0082143D" w:rsidRPr="0082143D">
        <w:rPr>
          <w:i/>
          <w:sz w:val="28"/>
          <w:szCs w:val="28"/>
        </w:rPr>
        <w:t>№</w:t>
      </w:r>
      <w:r w:rsidRPr="0082143D">
        <w:rPr>
          <w:i/>
          <w:sz w:val="28"/>
          <w:szCs w:val="28"/>
        </w:rPr>
        <w:t xml:space="preserve"> 958)</w:t>
      </w:r>
    </w:p>
    <w:p w:rsidR="007B2F21" w:rsidRPr="0082143D" w:rsidRDefault="00F866C6" w:rsidP="0082143D">
      <w:pPr>
        <w:pStyle w:val="a3"/>
        <w:spacing w:before="0" w:beforeAutospacing="0" w:after="0" w:afterAutospacing="0" w:line="276" w:lineRule="auto"/>
        <w:jc w:val="both"/>
        <w:rPr>
          <w:sz w:val="28"/>
          <w:szCs w:val="28"/>
        </w:rPr>
      </w:pPr>
      <w:r w:rsidRPr="0082143D">
        <w:rPr>
          <w:sz w:val="28"/>
          <w:szCs w:val="28"/>
        </w:rPr>
        <w:t xml:space="preserve">8. Відмова власника або уповноваженого ним органу (особи) від виплати компенсації може бути оскаржена громадянином у судовому порядку. </w:t>
      </w:r>
    </w:p>
    <w:p w:rsidR="007B2F21" w:rsidRPr="0082143D" w:rsidRDefault="00F866C6" w:rsidP="0082143D">
      <w:pPr>
        <w:pStyle w:val="a3"/>
        <w:spacing w:before="0" w:beforeAutospacing="0" w:after="0" w:afterAutospacing="0" w:line="276" w:lineRule="auto"/>
        <w:jc w:val="both"/>
        <w:rPr>
          <w:sz w:val="28"/>
          <w:szCs w:val="28"/>
        </w:rPr>
      </w:pPr>
      <w:r w:rsidRPr="0082143D">
        <w:rPr>
          <w:sz w:val="28"/>
          <w:szCs w:val="28"/>
        </w:rPr>
        <w:t>9. Роз</w:t>
      </w:r>
      <w:r w:rsidR="0082143D">
        <w:rPr>
          <w:sz w:val="28"/>
          <w:szCs w:val="28"/>
        </w:rPr>
        <w:t>’</w:t>
      </w:r>
      <w:r w:rsidRPr="0082143D">
        <w:rPr>
          <w:sz w:val="28"/>
          <w:szCs w:val="28"/>
        </w:rPr>
        <w:t xml:space="preserve">яснення щодо застосування цього Порядку надає </w:t>
      </w:r>
      <w:proofErr w:type="spellStart"/>
      <w:r w:rsidRPr="0082143D">
        <w:rPr>
          <w:sz w:val="28"/>
          <w:szCs w:val="28"/>
        </w:rPr>
        <w:t>Мінсоцполітики</w:t>
      </w:r>
      <w:proofErr w:type="spellEnd"/>
      <w:r w:rsidRPr="0082143D">
        <w:rPr>
          <w:sz w:val="28"/>
          <w:szCs w:val="28"/>
        </w:rPr>
        <w:t xml:space="preserve">. </w:t>
      </w:r>
    </w:p>
    <w:p w:rsidR="007B2F21" w:rsidRDefault="00F866C6" w:rsidP="0082143D">
      <w:pPr>
        <w:pStyle w:val="a3"/>
        <w:spacing w:before="0" w:beforeAutospacing="0" w:after="0" w:afterAutospacing="0" w:line="276" w:lineRule="auto"/>
        <w:jc w:val="right"/>
        <w:rPr>
          <w:i/>
          <w:sz w:val="28"/>
          <w:szCs w:val="28"/>
        </w:rPr>
      </w:pPr>
      <w:r w:rsidRPr="0082143D">
        <w:rPr>
          <w:i/>
          <w:sz w:val="28"/>
          <w:szCs w:val="28"/>
        </w:rPr>
        <w:t>(пункт 9 із змінами, внесеними згідно з постановою</w:t>
      </w:r>
      <w:r w:rsidRPr="0082143D">
        <w:rPr>
          <w:i/>
          <w:sz w:val="28"/>
          <w:szCs w:val="28"/>
        </w:rPr>
        <w:br/>
        <w:t xml:space="preserve"> Кабінету Міністрів України від 25.01.2012 р. </w:t>
      </w:r>
      <w:r w:rsidR="0082143D" w:rsidRPr="0082143D">
        <w:rPr>
          <w:i/>
          <w:sz w:val="28"/>
          <w:szCs w:val="28"/>
        </w:rPr>
        <w:t>№</w:t>
      </w:r>
      <w:r w:rsidRPr="0082143D">
        <w:rPr>
          <w:i/>
          <w:sz w:val="28"/>
          <w:szCs w:val="28"/>
        </w:rPr>
        <w:t xml:space="preserve"> 35)</w:t>
      </w:r>
    </w:p>
    <w:p w:rsidR="0082143D" w:rsidRDefault="0082143D" w:rsidP="0082143D">
      <w:pPr>
        <w:pStyle w:val="a3"/>
        <w:spacing w:before="0" w:beforeAutospacing="0" w:after="0" w:afterAutospacing="0" w:line="276" w:lineRule="auto"/>
        <w:jc w:val="right"/>
        <w:rPr>
          <w:i/>
          <w:sz w:val="28"/>
          <w:szCs w:val="28"/>
        </w:rPr>
      </w:pPr>
    </w:p>
    <w:p w:rsidR="007B2F21" w:rsidRPr="0082143D" w:rsidRDefault="0082143D" w:rsidP="0082143D">
      <w:pPr>
        <w:pStyle w:val="a3"/>
        <w:spacing w:before="0" w:beforeAutospacing="0" w:after="0" w:afterAutospacing="0" w:line="276" w:lineRule="auto"/>
        <w:jc w:val="right"/>
        <w:rPr>
          <w:i/>
          <w:sz w:val="28"/>
          <w:szCs w:val="28"/>
        </w:rPr>
      </w:pPr>
      <w:r w:rsidRPr="0082143D">
        <w:rPr>
          <w:sz w:val="28"/>
          <w:szCs w:val="28"/>
        </w:rPr>
        <w:t>Додаток</w:t>
      </w:r>
      <w:r w:rsidRPr="0082143D">
        <w:rPr>
          <w:sz w:val="28"/>
          <w:szCs w:val="28"/>
        </w:rPr>
        <w:br/>
        <w:t>до Порядку проведення компенсації громадянам втрати частини грошових доходів у зв</w:t>
      </w:r>
      <w:r>
        <w:rPr>
          <w:sz w:val="28"/>
          <w:szCs w:val="28"/>
        </w:rPr>
        <w:t>’</w:t>
      </w:r>
      <w:r w:rsidRPr="0082143D">
        <w:rPr>
          <w:sz w:val="28"/>
          <w:szCs w:val="28"/>
        </w:rPr>
        <w:t>язку з порушенням термінів їх виплати</w:t>
      </w:r>
      <w:r w:rsidRPr="0082143D">
        <w:rPr>
          <w:sz w:val="28"/>
          <w:szCs w:val="28"/>
        </w:rPr>
        <w:br/>
        <w:t>(в редакції постанови Кабінету Міністрів України</w:t>
      </w:r>
      <w:r w:rsidRPr="0082143D">
        <w:rPr>
          <w:sz w:val="28"/>
          <w:szCs w:val="28"/>
        </w:rPr>
        <w:br/>
        <w:t xml:space="preserve">від 31 березня 2003 р. </w:t>
      </w:r>
      <w:r>
        <w:rPr>
          <w:sz w:val="28"/>
          <w:szCs w:val="28"/>
        </w:rPr>
        <w:t>№</w:t>
      </w:r>
      <w:r w:rsidRPr="0082143D">
        <w:rPr>
          <w:sz w:val="28"/>
          <w:szCs w:val="28"/>
        </w:rPr>
        <w:t xml:space="preserve"> 430) </w:t>
      </w:r>
      <w:r w:rsidR="00F866C6" w:rsidRPr="0082143D">
        <w:rPr>
          <w:sz w:val="28"/>
          <w:szCs w:val="28"/>
        </w:rPr>
        <w:br w:type="textWrapping" w:clear="all"/>
      </w:r>
    </w:p>
    <w:p w:rsidR="007B2F21" w:rsidRPr="0082143D" w:rsidRDefault="00F866C6" w:rsidP="0082143D">
      <w:pPr>
        <w:pStyle w:val="3"/>
        <w:spacing w:before="0" w:beforeAutospacing="0" w:after="0" w:afterAutospacing="0" w:line="276" w:lineRule="auto"/>
        <w:jc w:val="center"/>
        <w:rPr>
          <w:rFonts w:eastAsia="Times New Roman"/>
          <w:sz w:val="28"/>
          <w:szCs w:val="28"/>
        </w:rPr>
      </w:pPr>
      <w:r w:rsidRPr="0082143D">
        <w:rPr>
          <w:rFonts w:eastAsia="Times New Roman"/>
          <w:sz w:val="28"/>
          <w:szCs w:val="28"/>
        </w:rPr>
        <w:t>ПРИКЛАД</w:t>
      </w:r>
      <w:r w:rsidRPr="0082143D">
        <w:rPr>
          <w:rFonts w:eastAsia="Times New Roman"/>
          <w:sz w:val="28"/>
          <w:szCs w:val="28"/>
        </w:rPr>
        <w:br/>
        <w:t>обчислення суми компенсації громадянам втрати частини грошових доходів у зв</w:t>
      </w:r>
      <w:r w:rsidR="0082143D">
        <w:rPr>
          <w:rFonts w:eastAsia="Times New Roman"/>
          <w:sz w:val="28"/>
          <w:szCs w:val="28"/>
        </w:rPr>
        <w:t>’</w:t>
      </w:r>
      <w:r w:rsidRPr="0082143D">
        <w:rPr>
          <w:rFonts w:eastAsia="Times New Roman"/>
          <w:sz w:val="28"/>
          <w:szCs w:val="28"/>
        </w:rPr>
        <w:t xml:space="preserve">язку з порушенням термінів їх виплати </w:t>
      </w:r>
    </w:p>
    <w:p w:rsidR="007B2F21" w:rsidRPr="0082143D" w:rsidRDefault="00F866C6" w:rsidP="0082143D">
      <w:pPr>
        <w:pStyle w:val="3"/>
        <w:spacing w:before="0" w:beforeAutospacing="0" w:after="0" w:afterAutospacing="0" w:line="276" w:lineRule="auto"/>
        <w:jc w:val="center"/>
        <w:rPr>
          <w:rFonts w:eastAsia="Times New Roman"/>
          <w:sz w:val="28"/>
          <w:szCs w:val="28"/>
        </w:rPr>
      </w:pPr>
      <w:r w:rsidRPr="0082143D">
        <w:rPr>
          <w:rFonts w:eastAsia="Times New Roman"/>
          <w:sz w:val="28"/>
          <w:szCs w:val="28"/>
        </w:rPr>
        <w:t xml:space="preserve">Індекс споживчих цін (у відсотках) </w:t>
      </w:r>
    </w:p>
    <w:tbl>
      <w:tblPr>
        <w:tblW w:w="5000"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137"/>
        <w:gridCol w:w="2490"/>
        <w:gridCol w:w="2490"/>
        <w:gridCol w:w="2512"/>
      </w:tblGrid>
      <w:tr w:rsidR="0082143D" w:rsidRPr="0082143D" w:rsidTr="0082143D">
        <w:trPr>
          <w:tblCellSpacing w:w="22" w:type="dxa"/>
        </w:trPr>
        <w:tc>
          <w:tcPr>
            <w:tcW w:w="11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Місяць </w:t>
            </w:r>
          </w:p>
        </w:tc>
        <w:tc>
          <w:tcPr>
            <w:tcW w:w="3900" w:type="pct"/>
            <w:gridSpan w:val="3"/>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Індекс споживчих цін (до місяця, що передує), за роками </w:t>
            </w:r>
          </w:p>
        </w:tc>
      </w:tr>
      <w:tr w:rsidR="0082143D" w:rsidRPr="0082143D" w:rsidTr="0082143D">
        <w:trPr>
          <w:tblCellSpacing w:w="22" w:type="dxa"/>
        </w:trPr>
        <w:tc>
          <w:tcPr>
            <w:tcW w:w="110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t>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2001 рік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2002 рік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2003 рік </w:t>
            </w:r>
          </w:p>
        </w:tc>
      </w:tr>
      <w:tr w:rsidR="0082143D" w:rsidRPr="0082143D" w:rsidTr="0082143D">
        <w:trPr>
          <w:tblCellSpacing w:w="22" w:type="dxa"/>
        </w:trPr>
        <w:tc>
          <w:tcPr>
            <w:tcW w:w="110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t>січень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101,5 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101 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101,5 </w:t>
            </w:r>
          </w:p>
        </w:tc>
      </w:tr>
      <w:tr w:rsidR="0082143D" w:rsidRPr="0082143D" w:rsidTr="0082143D">
        <w:trPr>
          <w:tblCellSpacing w:w="22" w:type="dxa"/>
        </w:trPr>
        <w:tc>
          <w:tcPr>
            <w:tcW w:w="110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t>лютий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100,6 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98,6 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r>
      <w:tr w:rsidR="0082143D" w:rsidRPr="0082143D" w:rsidTr="0082143D">
        <w:trPr>
          <w:tblCellSpacing w:w="22" w:type="dxa"/>
        </w:trPr>
        <w:tc>
          <w:tcPr>
            <w:tcW w:w="110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t>березень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100,6 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99,3 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r>
      <w:tr w:rsidR="0082143D" w:rsidRPr="0082143D" w:rsidTr="0082143D">
        <w:trPr>
          <w:tblCellSpacing w:w="22" w:type="dxa"/>
        </w:trPr>
        <w:tc>
          <w:tcPr>
            <w:tcW w:w="110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t>квітень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101,5 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101,4 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r>
      <w:tr w:rsidR="0082143D" w:rsidRPr="0082143D" w:rsidTr="0082143D">
        <w:trPr>
          <w:tblCellSpacing w:w="22" w:type="dxa"/>
        </w:trPr>
        <w:tc>
          <w:tcPr>
            <w:tcW w:w="110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t>травень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100,4 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99,7 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r>
      <w:tr w:rsidR="0082143D" w:rsidRPr="0082143D" w:rsidTr="0082143D">
        <w:trPr>
          <w:tblCellSpacing w:w="22" w:type="dxa"/>
        </w:trPr>
        <w:tc>
          <w:tcPr>
            <w:tcW w:w="110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t>червень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100,6 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98,2 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r>
      <w:tr w:rsidR="0082143D" w:rsidRPr="0082143D" w:rsidTr="0082143D">
        <w:trPr>
          <w:tblCellSpacing w:w="22" w:type="dxa"/>
        </w:trPr>
        <w:tc>
          <w:tcPr>
            <w:tcW w:w="110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lastRenderedPageBreak/>
              <w:t>липень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98,3 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98,5 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r>
      <w:tr w:rsidR="0082143D" w:rsidRPr="0082143D" w:rsidTr="0082143D">
        <w:trPr>
          <w:tblCellSpacing w:w="22" w:type="dxa"/>
        </w:trPr>
        <w:tc>
          <w:tcPr>
            <w:tcW w:w="110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t>серпень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99,8 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99,8 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r>
      <w:tr w:rsidR="0082143D" w:rsidRPr="0082143D" w:rsidTr="0082143D">
        <w:trPr>
          <w:tblCellSpacing w:w="22" w:type="dxa"/>
        </w:trPr>
        <w:tc>
          <w:tcPr>
            <w:tcW w:w="110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t>вересень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100,4 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100,2 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r>
      <w:tr w:rsidR="0082143D" w:rsidRPr="0082143D" w:rsidTr="0082143D">
        <w:trPr>
          <w:tblCellSpacing w:w="22" w:type="dxa"/>
        </w:trPr>
        <w:tc>
          <w:tcPr>
            <w:tcW w:w="110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t>жовтень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100,2 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100,7 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r>
      <w:tr w:rsidR="0082143D" w:rsidRPr="0082143D" w:rsidTr="0082143D">
        <w:trPr>
          <w:tblCellSpacing w:w="22" w:type="dxa"/>
        </w:trPr>
        <w:tc>
          <w:tcPr>
            <w:tcW w:w="110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t>листопад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100,5 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100,7 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r>
      <w:tr w:rsidR="0082143D" w:rsidRPr="0082143D" w:rsidTr="0082143D">
        <w:trPr>
          <w:tblCellSpacing w:w="22" w:type="dxa"/>
        </w:trPr>
        <w:tc>
          <w:tcPr>
            <w:tcW w:w="110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t>грудень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101,6 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101,4 </w:t>
            </w:r>
          </w:p>
        </w:tc>
        <w:tc>
          <w:tcPr>
            <w:tcW w:w="130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r>
    </w:tbl>
    <w:p w:rsidR="007B2F21" w:rsidRPr="0082143D" w:rsidRDefault="00F866C6" w:rsidP="0082143D">
      <w:pPr>
        <w:spacing w:line="276" w:lineRule="auto"/>
        <w:rPr>
          <w:rFonts w:eastAsia="Times New Roman"/>
          <w:sz w:val="28"/>
          <w:szCs w:val="28"/>
        </w:rPr>
      </w:pPr>
      <w:r w:rsidRPr="0082143D">
        <w:rPr>
          <w:rFonts w:eastAsia="Times New Roman"/>
          <w:sz w:val="28"/>
          <w:szCs w:val="28"/>
        </w:rPr>
        <w:br w:type="textWrapping" w:clear="all"/>
      </w:r>
    </w:p>
    <w:p w:rsidR="007B2F21" w:rsidRPr="0082143D" w:rsidRDefault="00F866C6" w:rsidP="0082143D">
      <w:pPr>
        <w:pStyle w:val="3"/>
        <w:spacing w:before="0" w:beforeAutospacing="0" w:after="0" w:afterAutospacing="0" w:line="276" w:lineRule="auto"/>
        <w:jc w:val="center"/>
        <w:rPr>
          <w:rFonts w:eastAsia="Times New Roman"/>
          <w:sz w:val="28"/>
          <w:szCs w:val="28"/>
        </w:rPr>
      </w:pPr>
      <w:r w:rsidRPr="0082143D">
        <w:rPr>
          <w:rFonts w:eastAsia="Times New Roman"/>
          <w:sz w:val="28"/>
          <w:szCs w:val="28"/>
        </w:rPr>
        <w:t xml:space="preserve">Обчислення суми компенсації </w:t>
      </w:r>
    </w:p>
    <w:tbl>
      <w:tblPr>
        <w:tblW w:w="5000"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984"/>
        <w:gridCol w:w="1280"/>
        <w:gridCol w:w="1070"/>
        <w:gridCol w:w="1295"/>
      </w:tblGrid>
      <w:tr w:rsidR="0082143D" w:rsidRPr="0082143D" w:rsidTr="0082143D">
        <w:trPr>
          <w:tblCellSpacing w:w="22" w:type="dxa"/>
        </w:trPr>
        <w:tc>
          <w:tcPr>
            <w:tcW w:w="315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t>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Одиниця виміру </w:t>
            </w:r>
          </w:p>
        </w:tc>
        <w:tc>
          <w:tcPr>
            <w:tcW w:w="5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Номер рядка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Кількісне значення </w:t>
            </w:r>
          </w:p>
        </w:tc>
      </w:tr>
      <w:tr w:rsidR="0082143D" w:rsidRPr="0082143D" w:rsidTr="0082143D">
        <w:trPr>
          <w:tblCellSpacing w:w="22" w:type="dxa"/>
        </w:trPr>
        <w:tc>
          <w:tcPr>
            <w:tcW w:w="31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b/>
                <w:bCs/>
                <w:sz w:val="28"/>
                <w:szCs w:val="28"/>
              </w:rPr>
              <w:t>Приклад 1</w:t>
            </w:r>
            <w:r w:rsidRPr="0082143D">
              <w:rPr>
                <w:sz w:val="28"/>
                <w:szCs w:val="28"/>
              </w:rPr>
              <w:t>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c>
          <w:tcPr>
            <w:tcW w:w="5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r>
      <w:tr w:rsidR="0082143D" w:rsidRPr="0082143D" w:rsidTr="0082143D">
        <w:trPr>
          <w:tblCellSpacing w:w="22" w:type="dxa"/>
        </w:trPr>
        <w:tc>
          <w:tcPr>
            <w:tcW w:w="315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t>Грошовий дохід, нарахований за січень і лютий 2001 р., виплачується у лютому 2003 року.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c>
          <w:tcPr>
            <w:tcW w:w="5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r>
      <w:tr w:rsidR="0082143D" w:rsidRPr="0082143D" w:rsidTr="0082143D">
        <w:trPr>
          <w:tblCellSpacing w:w="22" w:type="dxa"/>
        </w:trPr>
        <w:tc>
          <w:tcPr>
            <w:tcW w:w="31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Розрахунок: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c>
          <w:tcPr>
            <w:tcW w:w="5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r>
      <w:tr w:rsidR="0082143D" w:rsidRPr="0082143D" w:rsidTr="0082143D">
        <w:trPr>
          <w:tblCellSpacing w:w="22" w:type="dxa"/>
        </w:trPr>
        <w:tc>
          <w:tcPr>
            <w:tcW w:w="315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t>1. Сума грошового доходу, нарахованого до виплати: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c>
          <w:tcPr>
            <w:tcW w:w="5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r>
      <w:tr w:rsidR="0082143D" w:rsidRPr="0082143D" w:rsidTr="0082143D">
        <w:trPr>
          <w:tblCellSpacing w:w="22" w:type="dxa"/>
        </w:trPr>
        <w:tc>
          <w:tcPr>
            <w:tcW w:w="315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t>за січень 2001 року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гривень </w:t>
            </w:r>
          </w:p>
        </w:tc>
        <w:tc>
          <w:tcPr>
            <w:tcW w:w="5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1 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140 </w:t>
            </w:r>
          </w:p>
        </w:tc>
      </w:tr>
      <w:tr w:rsidR="0082143D" w:rsidRPr="0082143D" w:rsidTr="0082143D">
        <w:trPr>
          <w:tblCellSpacing w:w="22" w:type="dxa"/>
        </w:trPr>
        <w:tc>
          <w:tcPr>
            <w:tcW w:w="315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t>за лютий 2001 року.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 - </w:t>
            </w:r>
          </w:p>
        </w:tc>
        <w:tc>
          <w:tcPr>
            <w:tcW w:w="5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2 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160 </w:t>
            </w:r>
          </w:p>
        </w:tc>
      </w:tr>
      <w:tr w:rsidR="0082143D" w:rsidRPr="0082143D" w:rsidTr="0082143D">
        <w:trPr>
          <w:tblCellSpacing w:w="22" w:type="dxa"/>
        </w:trPr>
        <w:tc>
          <w:tcPr>
            <w:tcW w:w="315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t>2. Індекс споживчих цін за період невиплати грошового доходу: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c>
          <w:tcPr>
            <w:tcW w:w="5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r>
      <w:tr w:rsidR="0082143D" w:rsidRPr="0082143D" w:rsidTr="0082143D">
        <w:trPr>
          <w:tblCellSpacing w:w="22" w:type="dxa"/>
        </w:trPr>
        <w:tc>
          <w:tcPr>
            <w:tcW w:w="315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t>за січень 2001 р. - визначається шляхом множення місячних індексів за період з лютого 2001 р. по січень 2003 р. включно (1,006 х 1,006 х 1,015 х 1,004 х 1,006 х 0,983 х 0,998 х 1,004 х 1,002 х 1,005 х 1,016 х 1,010 х 0,986 х 0,993 х 1,014 х 0,997 х 0,982 х 0,985 х 0,998 х 1,002 х 1,007 х 1,007 х 1,014 х 1,015 х 100)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відсотків </w:t>
            </w:r>
          </w:p>
        </w:tc>
        <w:tc>
          <w:tcPr>
            <w:tcW w:w="5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3 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105,5 </w:t>
            </w:r>
          </w:p>
        </w:tc>
      </w:tr>
      <w:tr w:rsidR="0082143D" w:rsidRPr="0082143D" w:rsidTr="0082143D">
        <w:trPr>
          <w:tblCellSpacing w:w="22" w:type="dxa"/>
        </w:trPr>
        <w:tc>
          <w:tcPr>
            <w:tcW w:w="315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t>за лютий 2001 р. (беруться індекси з березня 2001 р. по січень 2003 р. включно).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 - </w:t>
            </w:r>
          </w:p>
        </w:tc>
        <w:tc>
          <w:tcPr>
            <w:tcW w:w="5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4 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104,9 </w:t>
            </w:r>
          </w:p>
        </w:tc>
      </w:tr>
      <w:tr w:rsidR="0082143D" w:rsidRPr="0082143D" w:rsidTr="0082143D">
        <w:trPr>
          <w:tblCellSpacing w:w="22" w:type="dxa"/>
        </w:trPr>
        <w:tc>
          <w:tcPr>
            <w:tcW w:w="315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t>3. Величина приросту індексу споживчих цін: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c>
          <w:tcPr>
            <w:tcW w:w="5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r>
      <w:tr w:rsidR="0082143D" w:rsidRPr="0082143D" w:rsidTr="0082143D">
        <w:trPr>
          <w:tblCellSpacing w:w="22" w:type="dxa"/>
        </w:trPr>
        <w:tc>
          <w:tcPr>
            <w:tcW w:w="315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t>за лютий 2001 р. - січень 2003 р. (рядок 3 - 100 відсотків)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 - </w:t>
            </w:r>
          </w:p>
        </w:tc>
        <w:tc>
          <w:tcPr>
            <w:tcW w:w="5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5 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5,5 </w:t>
            </w:r>
          </w:p>
        </w:tc>
      </w:tr>
      <w:tr w:rsidR="0082143D" w:rsidRPr="0082143D" w:rsidTr="0082143D">
        <w:trPr>
          <w:tblCellSpacing w:w="22" w:type="dxa"/>
        </w:trPr>
        <w:tc>
          <w:tcPr>
            <w:tcW w:w="315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lastRenderedPageBreak/>
              <w:t>за березень 2001 р. - січень 2003 р. (рядок 4 - 100 відсотків).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 - </w:t>
            </w:r>
          </w:p>
        </w:tc>
        <w:tc>
          <w:tcPr>
            <w:tcW w:w="5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6 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4,9 </w:t>
            </w:r>
          </w:p>
        </w:tc>
      </w:tr>
      <w:tr w:rsidR="0082143D" w:rsidRPr="0082143D" w:rsidTr="0082143D">
        <w:trPr>
          <w:tblCellSpacing w:w="22" w:type="dxa"/>
        </w:trPr>
        <w:tc>
          <w:tcPr>
            <w:tcW w:w="315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t>4. Сума компенсації: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c>
          <w:tcPr>
            <w:tcW w:w="5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r>
      <w:tr w:rsidR="0082143D" w:rsidRPr="0082143D" w:rsidTr="0082143D">
        <w:trPr>
          <w:tblCellSpacing w:w="22" w:type="dxa"/>
        </w:trPr>
        <w:tc>
          <w:tcPr>
            <w:tcW w:w="315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t>за січень 2001 р. (рядок 1 х рядок 5): 100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гривень </w:t>
            </w:r>
          </w:p>
        </w:tc>
        <w:tc>
          <w:tcPr>
            <w:tcW w:w="5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7 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7,7 </w:t>
            </w:r>
          </w:p>
        </w:tc>
      </w:tr>
      <w:tr w:rsidR="0082143D" w:rsidRPr="0082143D" w:rsidTr="0082143D">
        <w:trPr>
          <w:tblCellSpacing w:w="22" w:type="dxa"/>
        </w:trPr>
        <w:tc>
          <w:tcPr>
            <w:tcW w:w="315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t>за лютий 2001 р. (рядок 2 х рядок 6): 100.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 - </w:t>
            </w:r>
          </w:p>
        </w:tc>
        <w:tc>
          <w:tcPr>
            <w:tcW w:w="5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8 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7,84 </w:t>
            </w:r>
          </w:p>
        </w:tc>
      </w:tr>
      <w:tr w:rsidR="0082143D" w:rsidRPr="0082143D" w:rsidTr="0082143D">
        <w:trPr>
          <w:tblCellSpacing w:w="22" w:type="dxa"/>
        </w:trPr>
        <w:tc>
          <w:tcPr>
            <w:tcW w:w="315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t>5. Загальна сума компенсації, виплачена у лютому 2003 р. за січень та лютий 2001 р. (рядок 7 + рядок 8).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 - </w:t>
            </w:r>
          </w:p>
        </w:tc>
        <w:tc>
          <w:tcPr>
            <w:tcW w:w="5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9 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15,54 </w:t>
            </w:r>
          </w:p>
        </w:tc>
      </w:tr>
      <w:tr w:rsidR="0082143D" w:rsidRPr="0082143D" w:rsidTr="0082143D">
        <w:trPr>
          <w:tblCellSpacing w:w="22" w:type="dxa"/>
        </w:trPr>
        <w:tc>
          <w:tcPr>
            <w:tcW w:w="31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b/>
                <w:bCs/>
                <w:sz w:val="28"/>
                <w:szCs w:val="28"/>
              </w:rPr>
              <w:t>Приклад 2</w:t>
            </w:r>
            <w:r w:rsidRPr="0082143D">
              <w:rPr>
                <w:sz w:val="28"/>
                <w:szCs w:val="28"/>
              </w:rPr>
              <w:t>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c>
          <w:tcPr>
            <w:tcW w:w="5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r>
      <w:tr w:rsidR="0082143D" w:rsidRPr="0082143D" w:rsidTr="0082143D">
        <w:trPr>
          <w:tblCellSpacing w:w="22" w:type="dxa"/>
        </w:trPr>
        <w:tc>
          <w:tcPr>
            <w:tcW w:w="315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t>Грошовий дохід, нарахований за січень 2002 р., виплачується у лютому 2003 року.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c>
          <w:tcPr>
            <w:tcW w:w="5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r>
      <w:tr w:rsidR="0082143D" w:rsidRPr="0082143D" w:rsidTr="0082143D">
        <w:trPr>
          <w:tblCellSpacing w:w="22" w:type="dxa"/>
        </w:trPr>
        <w:tc>
          <w:tcPr>
            <w:tcW w:w="31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Розрахунок: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c>
          <w:tcPr>
            <w:tcW w:w="5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r>
      <w:tr w:rsidR="0082143D" w:rsidRPr="0082143D" w:rsidTr="0082143D">
        <w:trPr>
          <w:tblCellSpacing w:w="22" w:type="dxa"/>
        </w:trPr>
        <w:tc>
          <w:tcPr>
            <w:tcW w:w="315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t>1. Сума грошового доходу, нарахованого до виплати, за січень 2002 року.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 - </w:t>
            </w:r>
          </w:p>
        </w:tc>
        <w:tc>
          <w:tcPr>
            <w:tcW w:w="5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1 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180 </w:t>
            </w:r>
          </w:p>
        </w:tc>
      </w:tr>
      <w:tr w:rsidR="0082143D" w:rsidRPr="0082143D" w:rsidTr="0082143D">
        <w:trPr>
          <w:tblCellSpacing w:w="22" w:type="dxa"/>
        </w:trPr>
        <w:tc>
          <w:tcPr>
            <w:tcW w:w="315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t>2. Індекс споживчих цін за період невиплати грошового доходу (лютий 2002 р. - січень 2003 р.).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відсотків </w:t>
            </w:r>
          </w:p>
        </w:tc>
        <w:tc>
          <w:tcPr>
            <w:tcW w:w="5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2 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99,9 </w:t>
            </w:r>
          </w:p>
        </w:tc>
      </w:tr>
      <w:tr w:rsidR="0082143D" w:rsidRPr="0082143D" w:rsidTr="0082143D">
        <w:trPr>
          <w:tblCellSpacing w:w="22" w:type="dxa"/>
        </w:trPr>
        <w:tc>
          <w:tcPr>
            <w:tcW w:w="3150" w:type="pct"/>
            <w:hideMark/>
          </w:tcPr>
          <w:p w:rsidR="007B2F21" w:rsidRPr="0082143D" w:rsidRDefault="00F866C6" w:rsidP="0082143D">
            <w:pPr>
              <w:pStyle w:val="a3"/>
              <w:spacing w:before="0" w:beforeAutospacing="0" w:after="0" w:afterAutospacing="0" w:line="276" w:lineRule="auto"/>
              <w:rPr>
                <w:sz w:val="28"/>
                <w:szCs w:val="28"/>
              </w:rPr>
            </w:pPr>
            <w:r w:rsidRPr="0082143D">
              <w:rPr>
                <w:sz w:val="28"/>
                <w:szCs w:val="28"/>
              </w:rPr>
              <w:t>3. Сума компенсації за січень 2002 р. не нараховується, оскільки індекс споживчих цін, обчислений наростаючим підсумком починаючи з лютого 2002 р., не перевищує 100 відсотків.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гривень </w:t>
            </w:r>
          </w:p>
        </w:tc>
        <w:tc>
          <w:tcPr>
            <w:tcW w:w="5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3 </w:t>
            </w:r>
          </w:p>
        </w:tc>
        <w:tc>
          <w:tcPr>
            <w:tcW w:w="650" w:type="pct"/>
            <w:hideMark/>
          </w:tcPr>
          <w:p w:rsidR="007B2F21" w:rsidRPr="0082143D" w:rsidRDefault="00F866C6" w:rsidP="0082143D">
            <w:pPr>
              <w:pStyle w:val="a3"/>
              <w:spacing w:before="0" w:beforeAutospacing="0" w:after="0" w:afterAutospacing="0" w:line="276" w:lineRule="auto"/>
              <w:jc w:val="center"/>
              <w:rPr>
                <w:sz w:val="28"/>
                <w:szCs w:val="28"/>
              </w:rPr>
            </w:pPr>
            <w:r w:rsidRPr="0082143D">
              <w:rPr>
                <w:sz w:val="28"/>
                <w:szCs w:val="28"/>
              </w:rPr>
              <w:t>-  </w:t>
            </w:r>
          </w:p>
        </w:tc>
      </w:tr>
    </w:tbl>
    <w:p w:rsidR="007B2F21" w:rsidRPr="0082143D" w:rsidRDefault="00F866C6" w:rsidP="0082143D">
      <w:pPr>
        <w:spacing w:line="276" w:lineRule="auto"/>
        <w:rPr>
          <w:rFonts w:eastAsia="Times New Roman"/>
          <w:sz w:val="28"/>
          <w:szCs w:val="28"/>
        </w:rPr>
      </w:pPr>
      <w:r w:rsidRPr="0082143D">
        <w:rPr>
          <w:rFonts w:eastAsia="Times New Roman"/>
          <w:sz w:val="28"/>
          <w:szCs w:val="28"/>
        </w:rPr>
        <w:br w:type="textWrapping" w:clear="all"/>
      </w:r>
    </w:p>
    <w:p w:rsidR="007B2F21" w:rsidRPr="0082143D" w:rsidRDefault="007B2F21" w:rsidP="0082143D">
      <w:pPr>
        <w:pStyle w:val="a3"/>
        <w:spacing w:before="0" w:beforeAutospacing="0" w:after="0" w:afterAutospacing="0" w:line="276" w:lineRule="auto"/>
        <w:jc w:val="center"/>
        <w:rPr>
          <w:sz w:val="28"/>
          <w:szCs w:val="28"/>
        </w:rPr>
      </w:pPr>
      <w:bookmarkStart w:id="0" w:name="_GoBack"/>
      <w:bookmarkEnd w:id="0"/>
    </w:p>
    <w:sectPr w:rsidR="007B2F21" w:rsidRPr="008214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D6E"/>
    <w:rsid w:val="007B2F21"/>
    <w:rsid w:val="0082143D"/>
    <w:rsid w:val="008D7154"/>
    <w:rsid w:val="00AF1D6E"/>
    <w:rsid w:val="00F866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E73B13-F668-4FE7-BBF0-1197B2D1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5122</Words>
  <Characters>2920</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dcterms:created xsi:type="dcterms:W3CDTF">2014-10-05T18:47:00Z</dcterms:created>
  <dcterms:modified xsi:type="dcterms:W3CDTF">2014-11-08T14:42:00Z</dcterms:modified>
</cp:coreProperties>
</file>