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6858">
        <w:rPr>
          <w:b/>
          <w:bCs/>
          <w:sz w:val="28"/>
          <w:szCs w:val="28"/>
        </w:rPr>
        <w:t xml:space="preserve">МІНІСТЕРСТВО ПРОМИСЛОВОЇ ПОЛІТИКИ УКРАЇНИ </w:t>
      </w:r>
    </w:p>
    <w:p w:rsidR="00A5712D" w:rsidRPr="00AD6858" w:rsidRDefault="004C5B4C" w:rsidP="00AD685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t xml:space="preserve">НАКАЗ </w:t>
      </w:r>
    </w:p>
    <w:p w:rsidR="00A5712D" w:rsidRDefault="004C5B4C" w:rsidP="00AD685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D6858">
        <w:rPr>
          <w:b/>
          <w:bCs/>
          <w:sz w:val="28"/>
          <w:szCs w:val="28"/>
        </w:rPr>
        <w:t xml:space="preserve">від 14 липня 2006 року </w:t>
      </w:r>
      <w:r w:rsidR="005917E6" w:rsidRPr="00AD6858">
        <w:rPr>
          <w:b/>
          <w:bCs/>
          <w:sz w:val="28"/>
          <w:szCs w:val="28"/>
        </w:rPr>
        <w:t>№</w:t>
      </w:r>
      <w:r w:rsidRPr="00AD6858">
        <w:rPr>
          <w:b/>
          <w:bCs/>
          <w:sz w:val="28"/>
          <w:szCs w:val="28"/>
        </w:rPr>
        <w:t xml:space="preserve"> 269 </w:t>
      </w: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D6858" w:rsidRPr="00AD6858" w:rsidRDefault="004C5B4C" w:rsidP="00AD6858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t xml:space="preserve">Про деякі питання оплати праці керівників підприємств, що є у державній власності </w:t>
      </w:r>
    </w:p>
    <w:p w:rsidR="00A5712D" w:rsidRDefault="004C5B4C" w:rsidP="00AD685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6858">
        <w:rPr>
          <w:sz w:val="28"/>
          <w:szCs w:val="28"/>
        </w:rPr>
        <w:t>Із змінами і доповненнями, внесеними</w:t>
      </w:r>
      <w:r w:rsidRPr="00AD6858">
        <w:rPr>
          <w:sz w:val="28"/>
          <w:szCs w:val="28"/>
        </w:rPr>
        <w:br/>
        <w:t> наказом Міністерства промислової політики України</w:t>
      </w:r>
      <w:r w:rsidRPr="00AD6858">
        <w:rPr>
          <w:sz w:val="28"/>
          <w:szCs w:val="28"/>
        </w:rPr>
        <w:br/>
        <w:t xml:space="preserve">  від 29 грудня 2008 року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158-Д</w:t>
      </w: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На виконання </w:t>
      </w:r>
      <w:r w:rsidRPr="00AD6858">
        <w:rPr>
          <w:b/>
          <w:bCs/>
          <w:sz w:val="28"/>
          <w:szCs w:val="28"/>
        </w:rPr>
        <w:t xml:space="preserve">постанови Кабінету Міністрів України від 19.04.2006 р. </w:t>
      </w:r>
      <w:r w:rsidR="005917E6" w:rsidRPr="00AD6858">
        <w:rPr>
          <w:b/>
          <w:bCs/>
          <w:sz w:val="28"/>
          <w:szCs w:val="28"/>
        </w:rPr>
        <w:t>№</w:t>
      </w:r>
      <w:r w:rsidRPr="00AD6858">
        <w:rPr>
          <w:b/>
          <w:bCs/>
          <w:sz w:val="28"/>
          <w:szCs w:val="28"/>
        </w:rPr>
        <w:t xml:space="preserve"> 542 </w:t>
      </w:r>
      <w:r w:rsidRPr="00AD6858">
        <w:rPr>
          <w:sz w:val="28"/>
          <w:szCs w:val="28"/>
        </w:rPr>
        <w:t>"Деякі питання оплати праці керівників підприємств, заснованих на державній, комунальній власності,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підприємств", </w:t>
      </w:r>
      <w:r w:rsidRPr="00AD6858">
        <w:rPr>
          <w:b/>
          <w:bCs/>
          <w:sz w:val="28"/>
          <w:szCs w:val="28"/>
        </w:rPr>
        <w:t xml:space="preserve">спільного наказу Міністерства праці та соціальної політики України, Міністерства фінансів України, Міністерства економіки України від 25.11.2005 р. </w:t>
      </w:r>
      <w:r w:rsidR="005917E6" w:rsidRPr="00AD6858">
        <w:rPr>
          <w:b/>
          <w:bCs/>
          <w:sz w:val="28"/>
          <w:szCs w:val="28"/>
        </w:rPr>
        <w:t>№</w:t>
      </w:r>
      <w:r w:rsidRPr="00AD6858">
        <w:rPr>
          <w:b/>
          <w:bCs/>
          <w:sz w:val="28"/>
          <w:szCs w:val="28"/>
        </w:rPr>
        <w:t xml:space="preserve"> 390/851/457 </w:t>
      </w:r>
      <w:r w:rsidRPr="00AD6858">
        <w:rPr>
          <w:sz w:val="28"/>
          <w:szCs w:val="28"/>
        </w:rPr>
        <w:t>"Про затвердження Типового положення про виплату матеріальної винагороди за ефективне управління державним майном керівникам державних підприємств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підприємств" </w:t>
      </w:r>
      <w:r w:rsidRPr="00AD6858">
        <w:rPr>
          <w:b/>
          <w:bCs/>
          <w:sz w:val="28"/>
          <w:szCs w:val="28"/>
        </w:rPr>
        <w:t xml:space="preserve">і затверджених Міністерством промислової політики України та погоджених з Міністерством праці та соціальної політики і Міністерством економіки України </w:t>
      </w:r>
      <w:r w:rsidRPr="00AD6858">
        <w:rPr>
          <w:sz w:val="28"/>
          <w:szCs w:val="28"/>
        </w:rPr>
        <w:t>змін та доповнень до умов, показників та розмірів преміювання керівників підприємств, заснованих на державній власності,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підприємств, що належать до сфери управління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 України; показників та розмірів матеріальної винагороди за ефективне управління державним майном і умов її виплати керівникам підприємств, заснованих на державній власності,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підприємств, що належать до сфери управління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 України, </w:t>
      </w:r>
      <w:r w:rsidRPr="00AD6858">
        <w:rPr>
          <w:b/>
          <w:bCs/>
          <w:sz w:val="28"/>
          <w:szCs w:val="28"/>
        </w:rPr>
        <w:t>наказую</w:t>
      </w:r>
      <w:r w:rsidRPr="00AD6858">
        <w:rPr>
          <w:sz w:val="28"/>
          <w:szCs w:val="28"/>
        </w:rPr>
        <w:t xml:space="preserve">: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1. Затвердити Положення про виплату матеріальної винагороди за ефективне управління державним майном керівникам підприємств, заснованих на державній власності,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підприємств, що належать до сфери управління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 України, що додається.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2. </w:t>
      </w:r>
      <w:proofErr w:type="spellStart"/>
      <w:r w:rsidRPr="00AD6858">
        <w:rPr>
          <w:sz w:val="28"/>
          <w:szCs w:val="28"/>
        </w:rPr>
        <w:t>Внести</w:t>
      </w:r>
      <w:proofErr w:type="spellEnd"/>
      <w:r w:rsidRPr="00AD6858">
        <w:rPr>
          <w:sz w:val="28"/>
          <w:szCs w:val="28"/>
        </w:rPr>
        <w:t xml:space="preserve"> зміни та доповнення у Додаток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3 "Умови, показники та розміри преміювання керівників підприємств, заснованих на державній, комунальній власності, в тому числі казенних,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підприємств, організацій та установ, що входять до сфери управління </w:t>
      </w:r>
      <w:proofErr w:type="spellStart"/>
      <w:r w:rsidRPr="00AD6858">
        <w:rPr>
          <w:sz w:val="28"/>
          <w:szCs w:val="28"/>
        </w:rPr>
        <w:t>Мінпромполпики</w:t>
      </w:r>
      <w:proofErr w:type="spellEnd"/>
      <w:r w:rsidRPr="00AD6858">
        <w:rPr>
          <w:sz w:val="28"/>
          <w:szCs w:val="28"/>
        </w:rPr>
        <w:t xml:space="preserve"> України", затвердженого наказом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 України від 26.07.99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272, виклавши його у</w:t>
      </w:r>
      <w:r w:rsidRPr="00AD6858">
        <w:rPr>
          <w:i/>
          <w:iCs/>
          <w:sz w:val="28"/>
          <w:szCs w:val="28"/>
        </w:rPr>
        <w:t xml:space="preserve"> </w:t>
      </w:r>
      <w:r w:rsidRPr="00AD6858">
        <w:rPr>
          <w:sz w:val="28"/>
          <w:szCs w:val="28"/>
        </w:rPr>
        <w:t xml:space="preserve">редакції, що додається </w:t>
      </w:r>
      <w:r w:rsidRPr="00AD6858">
        <w:rPr>
          <w:b/>
          <w:bCs/>
          <w:sz w:val="28"/>
          <w:szCs w:val="28"/>
        </w:rPr>
        <w:t>(Додаток 1)</w:t>
      </w:r>
      <w:r w:rsidRPr="00AD6858">
        <w:rPr>
          <w:sz w:val="28"/>
          <w:szCs w:val="28"/>
        </w:rPr>
        <w:t xml:space="preserve">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3. Пункт 3 втратив чинність</w:t>
      </w:r>
    </w:p>
    <w:p w:rsidR="005917E6" w:rsidRPr="00AD6858" w:rsidRDefault="005917E6" w:rsidP="00AD6858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AD6858">
        <w:rPr>
          <w:i/>
          <w:sz w:val="28"/>
          <w:szCs w:val="28"/>
        </w:rPr>
        <w:t>(у зв</w:t>
      </w:r>
      <w:r w:rsidR="00AD6858" w:rsidRPr="00AD6858">
        <w:rPr>
          <w:i/>
          <w:sz w:val="28"/>
          <w:szCs w:val="28"/>
        </w:rPr>
        <w:t>’</w:t>
      </w:r>
      <w:r w:rsidRPr="00AD6858">
        <w:rPr>
          <w:i/>
          <w:sz w:val="28"/>
          <w:szCs w:val="28"/>
        </w:rPr>
        <w:t>язку із скасуванням наказу Міністерства промислової політики України від 03.09.2004 р. № 175-Д згідно з наказом Міністерства промислової політики України  від 29.12.2008 р. № 158-Д)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lastRenderedPageBreak/>
        <w:br w:type="textWrapping" w:clear="all"/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4. Керівникам підприємств, що є у державній власності, </w:t>
      </w:r>
      <w:proofErr w:type="spellStart"/>
      <w:r w:rsidRPr="00AD6858">
        <w:rPr>
          <w:sz w:val="28"/>
          <w:szCs w:val="28"/>
        </w:rPr>
        <w:t>внести</w:t>
      </w:r>
      <w:proofErr w:type="spellEnd"/>
      <w:r w:rsidRPr="00AD6858">
        <w:rPr>
          <w:sz w:val="28"/>
          <w:szCs w:val="28"/>
        </w:rPr>
        <w:t xml:space="preserve"> зміни та доповнення до контракту з урахуванням пункту 3 наказу.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5. Керівникам структурних підрозділів міністерства довести зазначений наказ до керівників підпорядкованих підприємств і організацій. </w:t>
      </w:r>
    </w:p>
    <w:p w:rsidR="00A5712D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6. Контроль за виконанням наказу покласти на заступника Міністра </w:t>
      </w:r>
      <w:proofErr w:type="spellStart"/>
      <w:r w:rsidRPr="00AD6858">
        <w:rPr>
          <w:sz w:val="28"/>
          <w:szCs w:val="28"/>
        </w:rPr>
        <w:t>Баранчука</w:t>
      </w:r>
      <w:proofErr w:type="spellEnd"/>
      <w:r w:rsidRPr="00AD6858">
        <w:rPr>
          <w:sz w:val="28"/>
          <w:szCs w:val="28"/>
        </w:rPr>
        <w:t xml:space="preserve"> В. М. </w:t>
      </w:r>
    </w:p>
    <w:p w:rsid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6858">
        <w:rPr>
          <w:b/>
          <w:bCs/>
          <w:sz w:val="28"/>
          <w:szCs w:val="28"/>
        </w:rPr>
        <w:t xml:space="preserve">Міністр промислової </w:t>
      </w:r>
      <w:r w:rsidRPr="00AD6858">
        <w:rPr>
          <w:sz w:val="28"/>
          <w:szCs w:val="28"/>
        </w:rPr>
        <w:br/>
      </w:r>
      <w:r w:rsidRPr="00AD6858">
        <w:rPr>
          <w:b/>
          <w:bCs/>
          <w:sz w:val="28"/>
          <w:szCs w:val="28"/>
        </w:rPr>
        <w:t>політики України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D6858">
        <w:rPr>
          <w:b/>
          <w:bCs/>
          <w:sz w:val="28"/>
          <w:szCs w:val="28"/>
        </w:rPr>
        <w:t>В. М. Шандра</w:t>
      </w:r>
      <w:r w:rsidRPr="00AD6858">
        <w:rPr>
          <w:sz w:val="28"/>
          <w:szCs w:val="28"/>
        </w:rPr>
        <w:t> 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D6858">
        <w:rPr>
          <w:sz w:val="28"/>
          <w:szCs w:val="28"/>
        </w:rPr>
        <w:t xml:space="preserve">  </w:t>
      </w:r>
      <w:r w:rsidRPr="00AD6858">
        <w:rPr>
          <w:sz w:val="28"/>
          <w:szCs w:val="28"/>
        </w:rPr>
        <w:br w:type="textWrapping" w:clear="all"/>
      </w:r>
      <w:r w:rsidR="005917E6" w:rsidRPr="00AD6858">
        <w:rPr>
          <w:sz w:val="28"/>
          <w:szCs w:val="28"/>
        </w:rPr>
        <w:t xml:space="preserve">ЗАТВЕРДЖЕНО </w:t>
      </w:r>
      <w:r w:rsidR="005917E6" w:rsidRPr="00AD6858">
        <w:rPr>
          <w:sz w:val="28"/>
          <w:szCs w:val="28"/>
        </w:rPr>
        <w:br/>
        <w:t xml:space="preserve">наказом </w:t>
      </w:r>
      <w:proofErr w:type="spellStart"/>
      <w:r w:rsidR="005917E6" w:rsidRPr="00AD6858">
        <w:rPr>
          <w:sz w:val="28"/>
          <w:szCs w:val="28"/>
        </w:rPr>
        <w:t>Мінпромполітики</w:t>
      </w:r>
      <w:proofErr w:type="spellEnd"/>
      <w:r w:rsidR="005917E6" w:rsidRPr="00AD6858">
        <w:rPr>
          <w:sz w:val="28"/>
          <w:szCs w:val="28"/>
        </w:rPr>
        <w:t xml:space="preserve"> </w:t>
      </w:r>
      <w:r w:rsidR="005917E6" w:rsidRPr="00AD6858">
        <w:rPr>
          <w:sz w:val="28"/>
          <w:szCs w:val="28"/>
        </w:rPr>
        <w:br/>
        <w:t>від 14 липня 2006 р. № 269 </w:t>
      </w:r>
    </w:p>
    <w:p w:rsidR="00A5712D" w:rsidRP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C5B4C" w:rsidRPr="00AD6858">
        <w:rPr>
          <w:sz w:val="28"/>
          <w:szCs w:val="28"/>
        </w:rPr>
        <w:br w:type="textWrapping" w:clear="all"/>
      </w:r>
    </w:p>
    <w:p w:rsidR="00A5712D" w:rsidRDefault="004C5B4C" w:rsidP="00AD685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AD6858">
        <w:rPr>
          <w:rFonts w:eastAsia="Times New Roman"/>
          <w:sz w:val="32"/>
          <w:szCs w:val="28"/>
        </w:rPr>
        <w:t>Положення про виплату матеріальної винагороди за ефективне управління державним майном керівникам підприємств, заснованих на державній власності, та об</w:t>
      </w:r>
      <w:r w:rsidR="00AD6858" w:rsidRPr="00AD6858">
        <w:rPr>
          <w:rFonts w:eastAsia="Times New Roman"/>
          <w:sz w:val="32"/>
          <w:szCs w:val="28"/>
        </w:rPr>
        <w:t>’</w:t>
      </w:r>
      <w:r w:rsidRPr="00AD6858">
        <w:rPr>
          <w:rFonts w:eastAsia="Times New Roman"/>
          <w:sz w:val="32"/>
          <w:szCs w:val="28"/>
        </w:rPr>
        <w:t xml:space="preserve">єднань державних підприємств, що належать до сфери управління </w:t>
      </w:r>
      <w:proofErr w:type="spellStart"/>
      <w:r w:rsidRPr="00AD6858">
        <w:rPr>
          <w:rFonts w:eastAsia="Times New Roman"/>
          <w:sz w:val="32"/>
          <w:szCs w:val="28"/>
        </w:rPr>
        <w:t>Мінпромполітики</w:t>
      </w:r>
      <w:proofErr w:type="spellEnd"/>
      <w:r w:rsidRPr="00AD6858">
        <w:rPr>
          <w:rFonts w:eastAsia="Times New Roman"/>
          <w:sz w:val="32"/>
          <w:szCs w:val="28"/>
        </w:rPr>
        <w:t xml:space="preserve"> України </w:t>
      </w:r>
    </w:p>
    <w:p w:rsidR="00AD6858" w:rsidRPr="00AD6858" w:rsidRDefault="00AD6858" w:rsidP="00AD685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Це Положення розроблено відповідно до постанови Кабінету Міністрів України від 19.04.2006 р.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542 "Деякі питання оплати праці керівників підприємств, заснованих на державній, комунальній власності,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підприємств", спільного наказу Міністерства праці та соціальної політики України, Міністерства фінансів України, Міністерства економіки України від 25.11.2005 р.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390/851/457 "Про затвердження Типового положення про виплату матеріальної винагороди за ефективне управління державним майном керівникам державних підприємств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>єднань державних підприємств" з метою посилення матеріальної зацікавленості керівників підприємств, заснованих на державній власності, та 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 у ефективному управлінні державним майном; удосконалення умов оплати праці та збільшення розміру заробітної плати керівників державних підприємств і залучення до роботи на державні підприємства висококваліфікованих та сумлінних керівників.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1. Виплата винагороди відповідно до цього Положення повинна </w:t>
      </w:r>
      <w:proofErr w:type="spellStart"/>
      <w:r w:rsidRPr="00AD6858">
        <w:rPr>
          <w:sz w:val="28"/>
          <w:szCs w:val="28"/>
        </w:rPr>
        <w:t>здійснюватись</w:t>
      </w:r>
      <w:proofErr w:type="spellEnd"/>
      <w:r w:rsidRPr="00AD6858">
        <w:rPr>
          <w:sz w:val="28"/>
          <w:szCs w:val="28"/>
        </w:rPr>
        <w:t xml:space="preserve"> з урахуванням затвердженого на підприємстві порядку розподілу частини чистого </w:t>
      </w:r>
      <w:r w:rsidRPr="00AD6858">
        <w:rPr>
          <w:sz w:val="28"/>
          <w:szCs w:val="28"/>
        </w:rPr>
        <w:lastRenderedPageBreak/>
        <w:t xml:space="preserve">прибутку та у прямій залежності розміру винагороди від приросту прибутку (чистого прибутку), отриманого від провадження господарської діяльності.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2. Виплата матеріальної винагороди за ефективне управління державним майном (далі - винагорода) керівникам державних підприємств (об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єднань державних підприємств) провадиться за результатами виконання основних показників господарської діяльності підприємства (фінансового плану) з метою зацікавлення керівників у ефективному виконанні завдань з управління державним майном, у кінцевих результатах діяльності підприємства та отриманні максимальних прибутків.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3. Винагорода встановлюється за виконання таких показників, розмір яких визначається щорічно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: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- зменшення дебіторської та кредиторської заборгованості порівняно з минулим роком;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- випереджаюче зростання розміру тарифної ставки робітника I розряду по відношенню до законодавчо встановлених темпів зростання мінімальної заробітної плати на відповідний рік, а також забезпечення зростання середньої заробітної плати робітників;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- підвищення рентабельності реалізованої продукції (робіт, послуг);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- виконання програм соціального розвитку колективу.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4. Виплата винагороди не повинна </w:t>
      </w:r>
      <w:proofErr w:type="spellStart"/>
      <w:r w:rsidRPr="00AD6858">
        <w:rPr>
          <w:sz w:val="28"/>
          <w:szCs w:val="28"/>
        </w:rPr>
        <w:t>здійснюватись</w:t>
      </w:r>
      <w:proofErr w:type="spellEnd"/>
      <w:r w:rsidRPr="00AD6858">
        <w:rPr>
          <w:sz w:val="28"/>
          <w:szCs w:val="28"/>
        </w:rPr>
        <w:t xml:space="preserve"> за рахунок зменшення соціальних гарантій працівникам підприємства, визначених у колективному договорі.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5. Винагорода встановлюється диференційовано від розміру чистого прибутку, що залишається в розпорядженні підприємства.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6. Винагорода виплачується один раз на рік за підсумками фінансово-господарської діяльності підприємства на підставі даних бухгалтерської та статистичної звітності за погодженням з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7. Керівник державного підприємства (об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єднання державних підприємств) подає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 звіт про результати виконання показників, передбачених пунктом 3 цього Положення, згідно з додатком.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8. Розмір винагороди не може перевищувати розміру 10 посадових окладів керівника на момент призначення винагороди. </w:t>
      </w:r>
    </w:p>
    <w:p w:rsidR="00A5712D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9. У випадку невиконання умов та показників, передбачених у контракті, допущення на підприємстві нещасного випадку із смертельним наслідком з вини підприємства, наявності заборгованості із заробітної плати працівникам, невиконання наказів та розпоряджень міністерства, погіршення показників роботи підприємства у порівнянні з попереднім періодом винагорода керівнику не виплачується. </w:t>
      </w:r>
    </w:p>
    <w:p w:rsidR="00AD6858" w:rsidRDefault="00AD6858" w:rsidP="00AD685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6858">
        <w:rPr>
          <w:b/>
          <w:bCs/>
          <w:sz w:val="28"/>
          <w:szCs w:val="28"/>
        </w:rPr>
        <w:lastRenderedPageBreak/>
        <w:t xml:space="preserve">Директор Департаменту </w:t>
      </w:r>
      <w:r w:rsidRPr="00AD6858">
        <w:rPr>
          <w:sz w:val="28"/>
          <w:szCs w:val="28"/>
        </w:rPr>
        <w:br/>
      </w:r>
      <w:r w:rsidRPr="00AD6858">
        <w:rPr>
          <w:b/>
          <w:bCs/>
          <w:sz w:val="28"/>
          <w:szCs w:val="28"/>
        </w:rPr>
        <w:t xml:space="preserve">фінансово-економічного </w:t>
      </w:r>
      <w:r w:rsidRPr="00AD6858">
        <w:rPr>
          <w:sz w:val="28"/>
          <w:szCs w:val="28"/>
        </w:rPr>
        <w:br/>
      </w:r>
      <w:r w:rsidRPr="00AD6858">
        <w:rPr>
          <w:b/>
          <w:bCs/>
          <w:sz w:val="28"/>
          <w:szCs w:val="28"/>
        </w:rPr>
        <w:t>забезпечення промисловості</w:t>
      </w:r>
      <w:r w:rsidRPr="00AD6858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6858">
        <w:rPr>
          <w:b/>
          <w:bCs/>
          <w:sz w:val="28"/>
          <w:szCs w:val="28"/>
        </w:rPr>
        <w:t xml:space="preserve">М. М. </w:t>
      </w:r>
      <w:proofErr w:type="spellStart"/>
      <w:r w:rsidRPr="00AD6858">
        <w:rPr>
          <w:b/>
          <w:bCs/>
          <w:sz w:val="28"/>
          <w:szCs w:val="28"/>
        </w:rPr>
        <w:t>Кондрашов</w:t>
      </w:r>
      <w:proofErr w:type="spellEnd"/>
      <w:r w:rsidRPr="00AD6858">
        <w:rPr>
          <w:sz w:val="28"/>
          <w:szCs w:val="28"/>
        </w:rPr>
        <w:t> 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 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D6858">
        <w:rPr>
          <w:sz w:val="28"/>
          <w:szCs w:val="28"/>
        </w:rPr>
        <w:br w:type="textWrapping" w:clear="all"/>
      </w:r>
      <w:r w:rsidR="005917E6" w:rsidRPr="00AD6858">
        <w:rPr>
          <w:sz w:val="28"/>
          <w:szCs w:val="28"/>
        </w:rPr>
        <w:t>Додаток</w:t>
      </w:r>
      <w:r w:rsidR="005917E6" w:rsidRPr="00AD6858">
        <w:rPr>
          <w:sz w:val="28"/>
          <w:szCs w:val="28"/>
        </w:rPr>
        <w:br/>
        <w:t>до пункту 7 Положення про виплату матеріальної винагороди за ефективне управління державним майном керівникам підприємств, заснованих на державній власності, та об</w:t>
      </w:r>
      <w:r w:rsidR="00AD6858">
        <w:rPr>
          <w:sz w:val="28"/>
          <w:szCs w:val="28"/>
        </w:rPr>
        <w:t>’</w:t>
      </w:r>
      <w:r w:rsidR="005917E6" w:rsidRPr="00AD6858">
        <w:rPr>
          <w:sz w:val="28"/>
          <w:szCs w:val="28"/>
        </w:rPr>
        <w:t xml:space="preserve">єднань державних підприємств, що належать до сфери управління </w:t>
      </w:r>
      <w:proofErr w:type="spellStart"/>
      <w:r w:rsidR="005917E6" w:rsidRPr="00AD6858">
        <w:rPr>
          <w:sz w:val="28"/>
          <w:szCs w:val="28"/>
        </w:rPr>
        <w:t>Мінпромполітики</w:t>
      </w:r>
      <w:proofErr w:type="spellEnd"/>
      <w:r w:rsidR="005917E6" w:rsidRPr="00AD6858">
        <w:rPr>
          <w:sz w:val="28"/>
          <w:szCs w:val="28"/>
        </w:rPr>
        <w:t xml:space="preserve"> України 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  </w:t>
      </w:r>
      <w:r w:rsidRPr="00AD6858">
        <w:rPr>
          <w:sz w:val="28"/>
          <w:szCs w:val="28"/>
        </w:rPr>
        <w:br w:type="textWrapping" w:clear="all"/>
      </w:r>
    </w:p>
    <w:p w:rsidR="00A5712D" w:rsidRDefault="004C5B4C" w:rsidP="00AD685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t>ЗВІТ</w:t>
      </w:r>
      <w:r w:rsidRPr="00AD6858">
        <w:rPr>
          <w:rFonts w:eastAsia="Times New Roman"/>
          <w:sz w:val="28"/>
          <w:szCs w:val="28"/>
        </w:rPr>
        <w:br/>
        <w:t xml:space="preserve">керівника підприємства, що є у державній власності, про результати виконання показників, передбачених Положенням про виплату винагороди за ефективне управління державним майном </w:t>
      </w:r>
    </w:p>
    <w:p w:rsidR="00AD6858" w:rsidRDefault="00AD6858" w:rsidP="00AD685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Загальні відомості </w:t>
      </w: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Директор ____________________________________________________________________</w:t>
      </w:r>
      <w:r w:rsidRPr="00AD6858">
        <w:rPr>
          <w:sz w:val="28"/>
          <w:szCs w:val="28"/>
        </w:rPr>
        <w:br/>
        <w:t>                                                                                        (прізвище, ім</w:t>
      </w:r>
      <w:r>
        <w:rPr>
          <w:sz w:val="28"/>
          <w:szCs w:val="28"/>
        </w:rPr>
        <w:t>’</w:t>
      </w:r>
      <w:r w:rsidRPr="00AD6858">
        <w:rPr>
          <w:sz w:val="28"/>
          <w:szCs w:val="28"/>
        </w:rPr>
        <w:t xml:space="preserve">я, по батькові) </w:t>
      </w: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Підприємство ____________________________________________________________________</w:t>
      </w:r>
      <w:r w:rsidRPr="00AD6858">
        <w:rPr>
          <w:sz w:val="28"/>
          <w:szCs w:val="28"/>
        </w:rPr>
        <w:br/>
        <w:t xml:space="preserve">                                                                                          (назва, юридична адреса) </w:t>
      </w: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Ном</w:t>
      </w:r>
      <w:r>
        <w:rPr>
          <w:sz w:val="28"/>
          <w:szCs w:val="28"/>
        </w:rPr>
        <w:t xml:space="preserve">ер контракту та термін його дії </w:t>
      </w:r>
      <w:r w:rsidRPr="00AD685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</w:p>
    <w:p w:rsidR="00AD6858" w:rsidRPr="00AD6858" w:rsidRDefault="00AD6858" w:rsidP="00AD685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D6858">
        <w:rPr>
          <w:sz w:val="28"/>
          <w:szCs w:val="28"/>
        </w:rPr>
        <w:t>Звітний  період _________________________________________</w:t>
      </w:r>
      <w:r>
        <w:rPr>
          <w:sz w:val="28"/>
          <w:szCs w:val="28"/>
        </w:rPr>
        <w:t>___________________________</w:t>
      </w:r>
    </w:p>
    <w:p w:rsidR="00A5712D" w:rsidRPr="00AD6858" w:rsidRDefault="004C5B4C" w:rsidP="00AD6858">
      <w:pPr>
        <w:spacing w:line="276" w:lineRule="auto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br w:type="textWrapping" w:clear="all"/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624"/>
        <w:gridCol w:w="1207"/>
        <w:gridCol w:w="1752"/>
        <w:gridCol w:w="1424"/>
        <w:gridCol w:w="2054"/>
      </w:tblGrid>
      <w:tr w:rsidR="00AD6858" w:rsidRPr="00AD6858" w:rsidTr="005917E6">
        <w:trPr>
          <w:tblCellSpacing w:w="22" w:type="dxa"/>
        </w:trPr>
        <w:tc>
          <w:tcPr>
            <w:tcW w:w="300" w:type="pct"/>
            <w:vAlign w:val="center"/>
            <w:hideMark/>
          </w:tcPr>
          <w:p w:rsidR="00A5712D" w:rsidRPr="00AD6858" w:rsidRDefault="005917E6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№</w:t>
            </w:r>
            <w:r w:rsidR="004C5B4C" w:rsidRPr="00AD6858">
              <w:rPr>
                <w:sz w:val="28"/>
                <w:szCs w:val="28"/>
              </w:rPr>
              <w:br/>
            </w:r>
            <w:r w:rsidR="004C5B4C" w:rsidRPr="00AD6858">
              <w:rPr>
                <w:b/>
                <w:bCs/>
                <w:sz w:val="28"/>
                <w:szCs w:val="28"/>
              </w:rPr>
              <w:t>з/п</w:t>
            </w:r>
            <w:r w:rsidR="004C5B4C" w:rsidRPr="00AD6858"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Найменування передбачених Положенням показників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Одиниці виміру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Передбачено контрактом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Фактично виконано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% +/- до передбаченого</w:t>
            </w:r>
            <w:r w:rsidRPr="00AD6858">
              <w:rPr>
                <w:sz w:val="28"/>
                <w:szCs w:val="28"/>
              </w:rPr>
              <w:t>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3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1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2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3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4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5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6</w:t>
            </w:r>
            <w:r w:rsidRPr="00AD6858">
              <w:rPr>
                <w:sz w:val="28"/>
                <w:szCs w:val="28"/>
              </w:rPr>
              <w:t>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3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20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 xml:space="preserve">1. Зменшення порівняно з минулим роком </w:t>
            </w:r>
            <w:r w:rsidRPr="00AD6858">
              <w:rPr>
                <w:sz w:val="28"/>
                <w:szCs w:val="28"/>
              </w:rPr>
              <w:br/>
              <w:t xml:space="preserve">- дебіторської заборгованості </w:t>
            </w:r>
            <w:r w:rsidRPr="00AD6858">
              <w:rPr>
                <w:sz w:val="28"/>
                <w:szCs w:val="28"/>
              </w:rPr>
              <w:br/>
            </w:r>
            <w:r w:rsidRPr="00AD6858">
              <w:rPr>
                <w:sz w:val="28"/>
                <w:szCs w:val="28"/>
              </w:rPr>
              <w:lastRenderedPageBreak/>
              <w:t>- кредиторської заборгованості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lastRenderedPageBreak/>
              <w:t>  </w:t>
            </w:r>
          </w:p>
        </w:tc>
        <w:tc>
          <w:tcPr>
            <w:tcW w:w="7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3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lastRenderedPageBreak/>
              <w:t>  </w:t>
            </w:r>
          </w:p>
        </w:tc>
        <w:tc>
          <w:tcPr>
            <w:tcW w:w="20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 xml:space="preserve">2. Зростання: </w:t>
            </w:r>
            <w:r w:rsidRPr="00AD6858">
              <w:rPr>
                <w:sz w:val="28"/>
                <w:szCs w:val="28"/>
              </w:rPr>
              <w:br/>
              <w:t xml:space="preserve">- розміру тарифної ставки робітника I розряду по відношенню до законодавчо встановлених темпів зростання мінімальної заробітної плати на відповідний рік </w:t>
            </w:r>
            <w:r w:rsidRPr="00AD6858">
              <w:rPr>
                <w:sz w:val="28"/>
                <w:szCs w:val="28"/>
              </w:rPr>
              <w:br/>
              <w:t>- середньої заробітної плати робітників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7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3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20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3. Підвищення рентабельності реалізованої продукції (робіт, послуг)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7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3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20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4. Виконання програм соціального розвитку колективу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7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6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</w:tr>
    </w:tbl>
    <w:p w:rsidR="00A5712D" w:rsidRPr="00AD6858" w:rsidRDefault="004C5B4C" w:rsidP="00AD6858">
      <w:pPr>
        <w:spacing w:line="276" w:lineRule="auto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br w:type="textWrapping" w:clear="all"/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b/>
          <w:bCs/>
          <w:sz w:val="28"/>
          <w:szCs w:val="28"/>
        </w:rPr>
        <w:t xml:space="preserve">Разом із звітом подається: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1. Довідка про основні техніко-економічні показники роботи підприємства.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2. Форма 1 "Баланс підприємства" станом на 01.01.200 р.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3. Форма 2 "Звіт про фінансові результати" за 200 рік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4. Форма 1-Б "Звіт про фінансові результати і дебіторську та кредиторську заборгованість".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5. Звіт з праці 1-ПВ термінова - місячна (форма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1-ПВ).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6. Витяг із колективного договору про встановлений розмір тарифної ставки першого розряду робітника та з штатного розпису мінімальний посадовий оклад (ставка) працівника основної професії. </w:t>
      </w:r>
    </w:p>
    <w:p w:rsidR="00A5712D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7. Протокол засідання профкому про виконання колективного договору з соціальних питань </w:t>
      </w:r>
    </w:p>
    <w:p w:rsid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lastRenderedPageBreak/>
        <w:t>Керівник підприємства </w:t>
      </w:r>
      <w:r>
        <w:rPr>
          <w:sz w:val="28"/>
          <w:szCs w:val="28"/>
        </w:rPr>
        <w:t>_______________  _____________________________</w:t>
      </w:r>
    </w:p>
    <w:p w:rsidR="00AD6858" w:rsidRPr="00AD6858" w:rsidRDefault="00AD6858" w:rsidP="00AD6858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(підпис)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6858">
        <w:rPr>
          <w:sz w:val="28"/>
          <w:szCs w:val="28"/>
        </w:rPr>
        <w:t>(ініціали та прізвище) </w:t>
      </w:r>
    </w:p>
    <w:p w:rsidR="00AD6858" w:rsidRDefault="00AD6858" w:rsidP="00AD685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5712D" w:rsidRPr="00AD6858" w:rsidRDefault="00AD6858" w:rsidP="00AD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6858">
        <w:rPr>
          <w:b/>
          <w:bCs/>
          <w:sz w:val="28"/>
          <w:szCs w:val="28"/>
        </w:rPr>
        <w:t xml:space="preserve">Директор Департаменту </w:t>
      </w:r>
      <w:r w:rsidRPr="00AD6858">
        <w:rPr>
          <w:sz w:val="28"/>
          <w:szCs w:val="28"/>
        </w:rPr>
        <w:br/>
      </w:r>
      <w:r w:rsidRPr="00AD6858">
        <w:rPr>
          <w:b/>
          <w:bCs/>
          <w:sz w:val="28"/>
          <w:szCs w:val="28"/>
        </w:rPr>
        <w:t xml:space="preserve">фінансово-економічного </w:t>
      </w:r>
      <w:r w:rsidRPr="00AD6858">
        <w:rPr>
          <w:sz w:val="28"/>
          <w:szCs w:val="28"/>
        </w:rPr>
        <w:br/>
      </w:r>
      <w:r w:rsidRPr="00AD6858">
        <w:rPr>
          <w:b/>
          <w:bCs/>
          <w:sz w:val="28"/>
          <w:szCs w:val="28"/>
        </w:rPr>
        <w:t>забезпечення промисловості</w:t>
      </w:r>
      <w:r w:rsidRPr="00AD6858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6858">
        <w:rPr>
          <w:b/>
          <w:bCs/>
          <w:sz w:val="28"/>
          <w:szCs w:val="28"/>
        </w:rPr>
        <w:t xml:space="preserve">М. М. </w:t>
      </w:r>
      <w:proofErr w:type="spellStart"/>
      <w:r w:rsidRPr="00AD6858">
        <w:rPr>
          <w:b/>
          <w:bCs/>
          <w:sz w:val="28"/>
          <w:szCs w:val="28"/>
        </w:rPr>
        <w:t>Кондрашов</w:t>
      </w:r>
      <w:proofErr w:type="spellEnd"/>
      <w:r w:rsidRPr="00AD6858">
        <w:rPr>
          <w:sz w:val="28"/>
          <w:szCs w:val="28"/>
        </w:rPr>
        <w:t> </w:t>
      </w:r>
      <w:r w:rsidR="004C5B4C" w:rsidRPr="00AD6858">
        <w:rPr>
          <w:sz w:val="28"/>
          <w:szCs w:val="28"/>
        </w:rPr>
        <w:br w:type="textWrapping" w:clear="all"/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  </w:t>
      </w:r>
    </w:p>
    <w:p w:rsidR="00A5712D" w:rsidRPr="00AD6858" w:rsidRDefault="005917E6" w:rsidP="00AD685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D6858">
        <w:rPr>
          <w:sz w:val="28"/>
          <w:szCs w:val="28"/>
        </w:rPr>
        <w:t>Додаток 1</w:t>
      </w:r>
      <w:r w:rsidRPr="00AD6858">
        <w:rPr>
          <w:sz w:val="28"/>
          <w:szCs w:val="28"/>
        </w:rPr>
        <w:br/>
        <w:t xml:space="preserve">до наказу </w:t>
      </w:r>
      <w:proofErr w:type="spellStart"/>
      <w:r w:rsidRPr="00AD6858">
        <w:rPr>
          <w:sz w:val="28"/>
          <w:szCs w:val="28"/>
        </w:rPr>
        <w:t>Мінпромполітики</w:t>
      </w:r>
      <w:proofErr w:type="spellEnd"/>
      <w:r w:rsidRPr="00AD6858">
        <w:rPr>
          <w:sz w:val="28"/>
          <w:szCs w:val="28"/>
        </w:rPr>
        <w:t xml:space="preserve"> </w:t>
      </w:r>
      <w:r w:rsidRPr="00AD6858">
        <w:rPr>
          <w:sz w:val="28"/>
          <w:szCs w:val="28"/>
        </w:rPr>
        <w:br/>
        <w:t>від 14 липня 2006 р. № 269 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D6858">
        <w:rPr>
          <w:sz w:val="28"/>
          <w:szCs w:val="28"/>
        </w:rPr>
        <w:t> </w:t>
      </w:r>
      <w:r w:rsidR="005917E6" w:rsidRPr="00AD6858">
        <w:rPr>
          <w:sz w:val="28"/>
          <w:szCs w:val="28"/>
        </w:rPr>
        <w:t>"</w:t>
      </w:r>
      <w:r w:rsidR="005917E6" w:rsidRPr="00AD6858">
        <w:rPr>
          <w:b/>
          <w:bCs/>
          <w:sz w:val="28"/>
          <w:szCs w:val="28"/>
        </w:rPr>
        <w:t>Додаток № 3</w:t>
      </w:r>
      <w:r w:rsidR="005917E6" w:rsidRPr="00AD6858">
        <w:rPr>
          <w:sz w:val="28"/>
          <w:szCs w:val="28"/>
        </w:rPr>
        <w:t> </w:t>
      </w:r>
      <w:r w:rsidRPr="00AD6858">
        <w:rPr>
          <w:sz w:val="28"/>
          <w:szCs w:val="28"/>
        </w:rPr>
        <w:br w:type="textWrapping" w:clear="all"/>
      </w:r>
    </w:p>
    <w:p w:rsidR="00A5712D" w:rsidRPr="00AD6858" w:rsidRDefault="004C5B4C" w:rsidP="00AD685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t>Умови, показники та розміри преміювання керівників підприємств, заснованих на державній власності, та об</w:t>
      </w:r>
      <w:r w:rsidR="00AD6858">
        <w:rPr>
          <w:rFonts w:eastAsia="Times New Roman"/>
          <w:sz w:val="28"/>
          <w:szCs w:val="28"/>
        </w:rPr>
        <w:t>’</w:t>
      </w:r>
      <w:r w:rsidRPr="00AD6858">
        <w:rPr>
          <w:rFonts w:eastAsia="Times New Roman"/>
          <w:sz w:val="28"/>
          <w:szCs w:val="28"/>
        </w:rPr>
        <w:t xml:space="preserve">єднань державних підприємств, що належать до сфери управління </w:t>
      </w:r>
      <w:proofErr w:type="spellStart"/>
      <w:r w:rsidRPr="00AD6858">
        <w:rPr>
          <w:rFonts w:eastAsia="Times New Roman"/>
          <w:sz w:val="28"/>
          <w:szCs w:val="28"/>
        </w:rPr>
        <w:t>Мінпромполітики</w:t>
      </w:r>
      <w:proofErr w:type="spellEnd"/>
      <w:r w:rsidRPr="00AD6858">
        <w:rPr>
          <w:rFonts w:eastAsia="Times New Roman"/>
          <w:sz w:val="28"/>
          <w:szCs w:val="28"/>
        </w:rPr>
        <w:t xml:space="preserve"> України 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3"/>
        <w:gridCol w:w="2384"/>
        <w:gridCol w:w="3136"/>
        <w:gridCol w:w="1836"/>
      </w:tblGrid>
      <w:tr w:rsidR="00AD6858" w:rsidRPr="00AD6858" w:rsidTr="005917E6">
        <w:trPr>
          <w:tblCellSpacing w:w="22" w:type="dxa"/>
        </w:trPr>
        <w:tc>
          <w:tcPr>
            <w:tcW w:w="9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  </w:t>
            </w:r>
          </w:p>
        </w:tc>
        <w:tc>
          <w:tcPr>
            <w:tcW w:w="14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Умови преміювання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Показники преміювання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Розміри преміювання у відсотках до</w:t>
            </w:r>
            <w:r w:rsidRPr="00AD6858">
              <w:rPr>
                <w:sz w:val="28"/>
                <w:szCs w:val="28"/>
              </w:rPr>
              <w:t xml:space="preserve"> </w:t>
            </w:r>
            <w:r w:rsidRPr="00AD6858">
              <w:rPr>
                <w:b/>
                <w:bCs/>
                <w:sz w:val="28"/>
                <w:szCs w:val="28"/>
              </w:rPr>
              <w:t>посадового окладу</w:t>
            </w:r>
            <w:r w:rsidRPr="00AD6858">
              <w:rPr>
                <w:sz w:val="28"/>
                <w:szCs w:val="28"/>
              </w:rPr>
              <w:t>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950" w:type="pct"/>
            <w:vMerge w:val="restar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Промислові підприємства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1400" w:type="pct"/>
            <w:vMerge w:val="restar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Наявність прибутку до оподаткування </w:t>
            </w:r>
          </w:p>
        </w:tc>
        <w:tc>
          <w:tcPr>
            <w:tcW w:w="18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1. Збільшення обсягів реалізованої продукції (робіт, послуг) у діючих цінах наростаючим підсумком до відповідного періоду минулого року </w:t>
            </w:r>
          </w:p>
        </w:tc>
        <w:tc>
          <w:tcPr>
            <w:tcW w:w="8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30 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A5712D" w:rsidRPr="00AD6858" w:rsidRDefault="00A5712D" w:rsidP="00AD68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12D" w:rsidRPr="00AD6858" w:rsidRDefault="00A5712D" w:rsidP="00AD68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2. Повне та своєчасне сплачення обов</w:t>
            </w:r>
            <w:r w:rsidR="00AD6858">
              <w:rPr>
                <w:sz w:val="28"/>
                <w:szCs w:val="28"/>
              </w:rPr>
              <w:t>’</w:t>
            </w:r>
            <w:r w:rsidRPr="00AD6858">
              <w:rPr>
                <w:sz w:val="28"/>
                <w:szCs w:val="28"/>
              </w:rPr>
              <w:t>язкових платежів та податків до державного бюджету, позабюджетних та інших фондів, поточної заробітної плати </w:t>
            </w:r>
          </w:p>
        </w:tc>
        <w:tc>
          <w:tcPr>
            <w:tcW w:w="8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70 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950" w:type="pct"/>
            <w:vMerge w:val="restar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 xml:space="preserve">Наукові, науково-дослідні, </w:t>
            </w:r>
            <w:r w:rsidRPr="00AD6858">
              <w:rPr>
                <w:b/>
                <w:bCs/>
                <w:sz w:val="28"/>
                <w:szCs w:val="28"/>
              </w:rPr>
              <w:lastRenderedPageBreak/>
              <w:t>проектні організації, конструкторські бюро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1400" w:type="pct"/>
            <w:vMerge w:val="restar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lastRenderedPageBreak/>
              <w:t>Наявність прибутку до оподаткування </w:t>
            </w:r>
          </w:p>
        </w:tc>
        <w:tc>
          <w:tcPr>
            <w:tcW w:w="18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 xml:space="preserve">1. Виконання плану науково-дослідних, проектних, </w:t>
            </w:r>
            <w:proofErr w:type="spellStart"/>
            <w:r w:rsidRPr="00AD6858">
              <w:rPr>
                <w:sz w:val="28"/>
                <w:szCs w:val="28"/>
              </w:rPr>
              <w:lastRenderedPageBreak/>
              <w:t>конструкторсько</w:t>
            </w:r>
            <w:proofErr w:type="spellEnd"/>
            <w:r w:rsidRPr="00AD6858">
              <w:rPr>
                <w:sz w:val="28"/>
                <w:szCs w:val="28"/>
              </w:rPr>
              <w:t>-технологічних робіт (послуг) </w:t>
            </w:r>
          </w:p>
        </w:tc>
        <w:tc>
          <w:tcPr>
            <w:tcW w:w="8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lastRenderedPageBreak/>
              <w:t>30 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A5712D" w:rsidRPr="00AD6858" w:rsidRDefault="00A5712D" w:rsidP="00AD68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12D" w:rsidRPr="00AD6858" w:rsidRDefault="00A5712D" w:rsidP="00AD68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2. Повне та своєчасне сплачення обов</w:t>
            </w:r>
            <w:r w:rsidR="00AD6858">
              <w:rPr>
                <w:sz w:val="28"/>
                <w:szCs w:val="28"/>
              </w:rPr>
              <w:t>’</w:t>
            </w:r>
            <w:r w:rsidRPr="00AD6858">
              <w:rPr>
                <w:sz w:val="28"/>
                <w:szCs w:val="28"/>
              </w:rPr>
              <w:t>язкових платежів та податків до державного бюджету, позабюджетних та інших фондів, поточної заробітної плати </w:t>
            </w:r>
          </w:p>
        </w:tc>
        <w:tc>
          <w:tcPr>
            <w:tcW w:w="8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70 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950" w:type="pct"/>
            <w:vMerge w:val="restar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b/>
                <w:bCs/>
                <w:sz w:val="28"/>
                <w:szCs w:val="28"/>
              </w:rPr>
              <w:t>Інші підприємства та організації</w:t>
            </w:r>
            <w:r w:rsidRPr="00AD6858">
              <w:rPr>
                <w:sz w:val="28"/>
                <w:szCs w:val="28"/>
              </w:rPr>
              <w:t> </w:t>
            </w:r>
          </w:p>
        </w:tc>
        <w:tc>
          <w:tcPr>
            <w:tcW w:w="1400" w:type="pct"/>
            <w:vMerge w:val="restar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Наявність прибутку до оподаткування </w:t>
            </w:r>
          </w:p>
        </w:tc>
        <w:tc>
          <w:tcPr>
            <w:tcW w:w="18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1. Виконання планових обсягів робіт (послуг) за видами діяльності </w:t>
            </w:r>
          </w:p>
        </w:tc>
        <w:tc>
          <w:tcPr>
            <w:tcW w:w="8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30 </w:t>
            </w:r>
          </w:p>
        </w:tc>
      </w:tr>
      <w:tr w:rsidR="00AD6858" w:rsidRPr="00AD6858" w:rsidTr="005917E6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A5712D" w:rsidRPr="00AD6858" w:rsidRDefault="00A5712D" w:rsidP="00AD68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12D" w:rsidRPr="00AD6858" w:rsidRDefault="00A5712D" w:rsidP="00AD68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2. Повне та своєчасне сплачення обов</w:t>
            </w:r>
            <w:r w:rsidR="00AD6858">
              <w:rPr>
                <w:sz w:val="28"/>
                <w:szCs w:val="28"/>
              </w:rPr>
              <w:t>’</w:t>
            </w:r>
            <w:r w:rsidRPr="00AD6858">
              <w:rPr>
                <w:sz w:val="28"/>
                <w:szCs w:val="28"/>
              </w:rPr>
              <w:t>язкових платежів та податків до державного бюджету, позабюджетних та інших фондів, поточної заробітної плати. </w:t>
            </w:r>
          </w:p>
        </w:tc>
        <w:tc>
          <w:tcPr>
            <w:tcW w:w="850" w:type="pct"/>
            <w:vAlign w:val="center"/>
            <w:hideMark/>
          </w:tcPr>
          <w:p w:rsidR="00A5712D" w:rsidRPr="00AD6858" w:rsidRDefault="004C5B4C" w:rsidP="00AD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D6858">
              <w:rPr>
                <w:sz w:val="28"/>
                <w:szCs w:val="28"/>
              </w:rPr>
              <w:t>70 </w:t>
            </w:r>
          </w:p>
        </w:tc>
      </w:tr>
    </w:tbl>
    <w:p w:rsidR="00A5712D" w:rsidRPr="00AD6858" w:rsidRDefault="004C5B4C" w:rsidP="00AD6858">
      <w:pPr>
        <w:spacing w:line="276" w:lineRule="auto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br w:type="textWrapping" w:clear="all"/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Премія не нараховується у разі: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- допущення на підприємстві нещасного випадку із смертельним наслідком з вини підприємства;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- наявності заборгованості із виплати заробітної плати працівникам;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- невиконання умов, або показників преміювання; </w:t>
      </w:r>
    </w:p>
    <w:p w:rsid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- невиконання наказів та розпоряджень міністе</w:t>
      </w:r>
      <w:r w:rsidR="00AD6858">
        <w:rPr>
          <w:sz w:val="28"/>
          <w:szCs w:val="28"/>
        </w:rPr>
        <w:t>рства (наказом по міністерству)</w:t>
      </w:r>
    </w:p>
    <w:p w:rsidR="00AD6858" w:rsidRDefault="00AD6858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b/>
          <w:bCs/>
          <w:sz w:val="28"/>
          <w:szCs w:val="28"/>
        </w:rPr>
        <w:t>Примітка:</w:t>
      </w:r>
      <w:r w:rsidRPr="00AD6858">
        <w:rPr>
          <w:sz w:val="28"/>
          <w:szCs w:val="28"/>
        </w:rPr>
        <w:t> 1) максимальний розмір премії не може перевищувати розміру посадового окладу керівника; </w:t>
      </w:r>
    </w:p>
    <w:p w:rsidR="00AD6858" w:rsidRDefault="00AD6858" w:rsidP="00AD6858">
      <w:pPr>
        <w:pStyle w:val="a3"/>
        <w:spacing w:before="0" w:beforeAutospacing="0" w:after="0" w:afterAutospacing="0" w:line="276" w:lineRule="auto"/>
        <w:ind w:left="708" w:firstLine="708"/>
        <w:jc w:val="both"/>
        <w:rPr>
          <w:sz w:val="28"/>
          <w:szCs w:val="28"/>
        </w:rPr>
      </w:pPr>
      <w:r w:rsidRPr="00AD6858">
        <w:rPr>
          <w:sz w:val="28"/>
          <w:szCs w:val="28"/>
        </w:rPr>
        <w:t>2) премія керівникові виплачується щомісячно, з перерахунком за результатами діяльності за квартал на підставі даних бухгалтерської та статистичної звітності". 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D6858">
        <w:rPr>
          <w:sz w:val="28"/>
          <w:szCs w:val="28"/>
        </w:rPr>
        <w:br w:type="textWrapping" w:clear="all"/>
      </w:r>
      <w:r w:rsidR="005917E6" w:rsidRPr="00AD6858">
        <w:rPr>
          <w:sz w:val="28"/>
          <w:szCs w:val="28"/>
        </w:rPr>
        <w:t>Додаток 2</w:t>
      </w:r>
      <w:r w:rsidR="005917E6" w:rsidRPr="00AD6858">
        <w:rPr>
          <w:sz w:val="28"/>
          <w:szCs w:val="28"/>
        </w:rPr>
        <w:br/>
        <w:t xml:space="preserve">до наказу </w:t>
      </w:r>
      <w:proofErr w:type="spellStart"/>
      <w:r w:rsidR="005917E6" w:rsidRPr="00AD6858">
        <w:rPr>
          <w:sz w:val="28"/>
          <w:szCs w:val="28"/>
        </w:rPr>
        <w:t>Мінпромполітики</w:t>
      </w:r>
      <w:proofErr w:type="spellEnd"/>
      <w:r w:rsidR="005917E6" w:rsidRPr="00AD6858">
        <w:rPr>
          <w:sz w:val="28"/>
          <w:szCs w:val="28"/>
        </w:rPr>
        <w:t xml:space="preserve"> </w:t>
      </w:r>
      <w:r w:rsidR="005917E6" w:rsidRPr="00AD6858">
        <w:rPr>
          <w:sz w:val="28"/>
          <w:szCs w:val="28"/>
        </w:rPr>
        <w:br/>
        <w:t>від 14 липня 2006 р. № 269 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t xml:space="preserve"> 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lastRenderedPageBreak/>
        <w:br w:type="textWrapping" w:clear="all"/>
      </w:r>
    </w:p>
    <w:p w:rsidR="00A5712D" w:rsidRPr="00AD6858" w:rsidRDefault="004C5B4C" w:rsidP="00AD6858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D6858">
        <w:rPr>
          <w:rFonts w:eastAsia="Times New Roman"/>
          <w:sz w:val="28"/>
          <w:szCs w:val="28"/>
        </w:rPr>
        <w:t>Зміни та доповнення</w:t>
      </w:r>
      <w:bookmarkStart w:id="0" w:name="_GoBack"/>
      <w:bookmarkEnd w:id="0"/>
      <w:r w:rsidRPr="00AD6858">
        <w:rPr>
          <w:rFonts w:eastAsia="Times New Roman"/>
          <w:sz w:val="28"/>
          <w:szCs w:val="28"/>
        </w:rPr>
        <w:br/>
        <w:t>до форми контракту з керівником підприємства, що є у державній</w:t>
      </w:r>
      <w:r w:rsidRPr="00AD6858">
        <w:rPr>
          <w:rFonts w:eastAsia="Times New Roman"/>
          <w:sz w:val="28"/>
          <w:szCs w:val="28"/>
        </w:rPr>
        <w:br/>
        <w:t xml:space="preserve"> власності 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6858">
        <w:rPr>
          <w:sz w:val="28"/>
          <w:szCs w:val="28"/>
        </w:rPr>
        <w:t>Додаток 2 втратив чинність</w:t>
      </w:r>
      <w:r w:rsidRPr="00AD6858">
        <w:rPr>
          <w:sz w:val="28"/>
          <w:szCs w:val="28"/>
        </w:rPr>
        <w:br/>
        <w:t>(у зв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>язку із скасуванням наказу Міністерства промислової політики України</w:t>
      </w:r>
      <w:r w:rsidRPr="00AD6858">
        <w:rPr>
          <w:sz w:val="28"/>
          <w:szCs w:val="28"/>
        </w:rPr>
        <w:br/>
        <w:t xml:space="preserve"> від 3 вересня 2004 року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175-Д згідно з наказом Міністерства промислової політики України</w:t>
      </w:r>
      <w:r w:rsidRPr="00AD6858">
        <w:rPr>
          <w:sz w:val="28"/>
          <w:szCs w:val="28"/>
        </w:rPr>
        <w:br/>
        <w:t xml:space="preserve"> від 29 грудня 2008 року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158-Д)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D6858">
        <w:rPr>
          <w:sz w:val="28"/>
          <w:szCs w:val="28"/>
        </w:rPr>
        <w:t> </w:t>
      </w:r>
      <w:r w:rsidR="005917E6" w:rsidRPr="00AD6858">
        <w:rPr>
          <w:sz w:val="28"/>
          <w:szCs w:val="28"/>
        </w:rPr>
        <w:t>Додаток 3</w:t>
      </w:r>
      <w:r w:rsidR="005917E6" w:rsidRPr="00AD6858">
        <w:rPr>
          <w:sz w:val="28"/>
          <w:szCs w:val="28"/>
        </w:rPr>
        <w:br/>
        <w:t xml:space="preserve">до наказу </w:t>
      </w:r>
      <w:proofErr w:type="spellStart"/>
      <w:r w:rsidR="005917E6" w:rsidRPr="00AD6858">
        <w:rPr>
          <w:sz w:val="28"/>
          <w:szCs w:val="28"/>
        </w:rPr>
        <w:t>Мінпромполітики</w:t>
      </w:r>
      <w:proofErr w:type="spellEnd"/>
      <w:r w:rsidR="005917E6" w:rsidRPr="00AD6858">
        <w:rPr>
          <w:sz w:val="28"/>
          <w:szCs w:val="28"/>
        </w:rPr>
        <w:t xml:space="preserve"> </w:t>
      </w:r>
      <w:r w:rsidR="005917E6" w:rsidRPr="00AD6858">
        <w:rPr>
          <w:sz w:val="28"/>
          <w:szCs w:val="28"/>
        </w:rPr>
        <w:br/>
        <w:t>від 14 липня 2006 р. № 269 </w:t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858">
        <w:rPr>
          <w:sz w:val="28"/>
          <w:szCs w:val="28"/>
        </w:rPr>
        <w:br w:type="textWrapping" w:clear="all"/>
      </w:r>
    </w:p>
    <w:p w:rsidR="00A5712D" w:rsidRPr="00AD6858" w:rsidRDefault="004C5B4C" w:rsidP="00AD685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6858">
        <w:rPr>
          <w:sz w:val="28"/>
          <w:szCs w:val="28"/>
        </w:rPr>
        <w:t>Додаток 3 втратив чинність</w:t>
      </w:r>
      <w:r w:rsidRPr="00AD6858">
        <w:rPr>
          <w:sz w:val="28"/>
          <w:szCs w:val="28"/>
        </w:rPr>
        <w:br/>
        <w:t>(у зв</w:t>
      </w:r>
      <w:r w:rsidR="00AD6858">
        <w:rPr>
          <w:sz w:val="28"/>
          <w:szCs w:val="28"/>
        </w:rPr>
        <w:t>’</w:t>
      </w:r>
      <w:r w:rsidRPr="00AD6858">
        <w:rPr>
          <w:sz w:val="28"/>
          <w:szCs w:val="28"/>
        </w:rPr>
        <w:t>язку із скасуванням наказу Міністерства промислової політики України</w:t>
      </w:r>
      <w:r w:rsidRPr="00AD6858">
        <w:rPr>
          <w:sz w:val="28"/>
          <w:szCs w:val="28"/>
        </w:rPr>
        <w:br/>
        <w:t xml:space="preserve"> від 3 вересня 2004 року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175-Д згідно з наказом Міністерства промислової політики України</w:t>
      </w:r>
      <w:r w:rsidRPr="00AD6858">
        <w:rPr>
          <w:sz w:val="28"/>
          <w:szCs w:val="28"/>
        </w:rPr>
        <w:br/>
        <w:t xml:space="preserve"> від 29 грудня 2008 року </w:t>
      </w:r>
      <w:r w:rsidR="005917E6" w:rsidRPr="00AD6858">
        <w:rPr>
          <w:sz w:val="28"/>
          <w:szCs w:val="28"/>
        </w:rPr>
        <w:t>№</w:t>
      </w:r>
      <w:r w:rsidRPr="00AD6858">
        <w:rPr>
          <w:sz w:val="28"/>
          <w:szCs w:val="28"/>
        </w:rPr>
        <w:t xml:space="preserve"> 158-Д)</w:t>
      </w:r>
    </w:p>
    <w:sectPr w:rsidR="00A5712D" w:rsidRPr="00AD68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5"/>
    <w:rsid w:val="00210512"/>
    <w:rsid w:val="003F203A"/>
    <w:rsid w:val="004C5B4C"/>
    <w:rsid w:val="005917E6"/>
    <w:rsid w:val="00A5712D"/>
    <w:rsid w:val="00AD6858"/>
    <w:rsid w:val="00D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9302-8F43-457D-B336-6AE67D2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7539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2014-10-05T18:32:00Z</dcterms:created>
  <dcterms:modified xsi:type="dcterms:W3CDTF">2014-11-07T17:12:00Z</dcterms:modified>
</cp:coreProperties>
</file>